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6A69" w14:textId="3B7205AC" w:rsidR="00D63A7A" w:rsidRPr="005D5FC0" w:rsidRDefault="00644E1D" w:rsidP="00644FB2">
      <w:pPr>
        <w:pStyle w:val="Header1-underline"/>
      </w:pPr>
      <w:bookmarkStart w:id="0" w:name="TitleOfCommittee"/>
      <w:r>
        <w:t>Entry Customer Forum</w:t>
      </w:r>
    </w:p>
    <w:bookmarkEnd w:id="0"/>
    <w:p w14:paraId="3934E9E2" w14:textId="6DEAFB6F" w:rsidR="002034B7" w:rsidRPr="002034B7" w:rsidRDefault="002034B7" w:rsidP="002034B7">
      <w:pPr>
        <w:pStyle w:val="SUBHEADING"/>
      </w:pPr>
      <w:r w:rsidRPr="002034B7">
        <w:t>MINUTES</w:t>
      </w:r>
    </w:p>
    <w:p w14:paraId="5E8AF5B8" w14:textId="77777777" w:rsidR="00814177" w:rsidRDefault="00814177" w:rsidP="003D171C">
      <w:pPr>
        <w:pStyle w:val="Subheader2"/>
      </w:pPr>
      <w:r w:rsidRPr="00814177">
        <w:t>Tuesday 26 September 2023 at 12.30PM – 2.00PM</w:t>
      </w:r>
    </w:p>
    <w:p w14:paraId="70236599" w14:textId="515FAD5F" w:rsidR="00400C41" w:rsidRPr="003C060A" w:rsidRDefault="00814177" w:rsidP="003D171C">
      <w:pPr>
        <w:pStyle w:val="Subheader2"/>
      </w:pPr>
      <w:r>
        <w:t>MS</w:t>
      </w:r>
      <w:r w:rsidR="00400C41">
        <w:t xml:space="preserve"> Teams Meeting</w:t>
      </w:r>
    </w:p>
    <w:p w14:paraId="18774A3A" w14:textId="405DCE06" w:rsidR="003D171C" w:rsidRPr="003D171C" w:rsidRDefault="002034B7" w:rsidP="00F4406B">
      <w:pPr>
        <w:pStyle w:val="SUBHEADING"/>
      </w:pPr>
      <w:r>
        <w:t>ATTENDEES</w:t>
      </w:r>
    </w:p>
    <w:tbl>
      <w:tblPr>
        <w:tblW w:w="8647"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3534"/>
        <w:gridCol w:w="1516"/>
        <w:gridCol w:w="3597"/>
      </w:tblGrid>
      <w:tr w:rsidR="00644FB2" w:rsidRPr="00232395" w14:paraId="67A18BD5" w14:textId="77777777" w:rsidTr="00AF777A">
        <w:trPr>
          <w:trHeight w:val="482"/>
        </w:trPr>
        <w:tc>
          <w:tcPr>
            <w:tcW w:w="3534" w:type="dxa"/>
            <w:shd w:val="clear" w:color="auto" w:fill="009FE3" w:themeFill="accent4"/>
            <w:vAlign w:val="center"/>
          </w:tcPr>
          <w:p w14:paraId="016136F1" w14:textId="77777777" w:rsidR="00644FB2" w:rsidRPr="00232395" w:rsidRDefault="00644FB2" w:rsidP="0035282C">
            <w:pPr>
              <w:rPr>
                <w:rFonts w:cs="Tahoma"/>
                <w:b/>
                <w:bCs/>
                <w:color w:val="FFFFFF" w:themeColor="background1"/>
                <w:szCs w:val="20"/>
                <w:lang w:eastAsia="en-US"/>
              </w:rPr>
            </w:pPr>
            <w:r>
              <w:rPr>
                <w:rFonts w:cs="Tahoma"/>
                <w:b/>
                <w:bCs/>
                <w:color w:val="FFFFFF" w:themeColor="background1"/>
                <w:szCs w:val="20"/>
                <w:lang w:eastAsia="en-US"/>
              </w:rPr>
              <w:t>Name</w:t>
            </w:r>
          </w:p>
        </w:tc>
        <w:tc>
          <w:tcPr>
            <w:tcW w:w="1516" w:type="dxa"/>
            <w:shd w:val="clear" w:color="auto" w:fill="009FE3" w:themeFill="accent4"/>
            <w:vAlign w:val="center"/>
          </w:tcPr>
          <w:p w14:paraId="09856417" w14:textId="77777777" w:rsidR="00644FB2" w:rsidRPr="00232395" w:rsidRDefault="00644FB2" w:rsidP="0035282C">
            <w:pPr>
              <w:rPr>
                <w:rFonts w:cs="Tahoma"/>
                <w:b/>
                <w:bCs/>
                <w:color w:val="FFFFFF" w:themeColor="background1"/>
                <w:szCs w:val="20"/>
                <w:lang w:eastAsia="en-US"/>
              </w:rPr>
            </w:pPr>
            <w:r>
              <w:rPr>
                <w:rFonts w:cs="Tahoma"/>
                <w:b/>
                <w:bCs/>
                <w:color w:val="FFFFFF" w:themeColor="background1"/>
                <w:szCs w:val="20"/>
                <w:lang w:eastAsia="en-US"/>
              </w:rPr>
              <w:t>Initials</w:t>
            </w:r>
          </w:p>
        </w:tc>
        <w:tc>
          <w:tcPr>
            <w:tcW w:w="3597" w:type="dxa"/>
            <w:shd w:val="clear" w:color="auto" w:fill="009FE3" w:themeFill="accent4"/>
            <w:vAlign w:val="center"/>
          </w:tcPr>
          <w:p w14:paraId="5D5D8419" w14:textId="77777777" w:rsidR="00644FB2" w:rsidRPr="00232395" w:rsidRDefault="00644FB2" w:rsidP="0035282C">
            <w:pPr>
              <w:rPr>
                <w:rFonts w:cs="Tahoma"/>
                <w:b/>
                <w:bCs/>
                <w:color w:val="FFFFFF" w:themeColor="background1"/>
                <w:szCs w:val="20"/>
                <w:lang w:eastAsia="en-US"/>
              </w:rPr>
            </w:pPr>
            <w:r w:rsidRPr="00232395">
              <w:rPr>
                <w:rFonts w:cs="Tahoma"/>
                <w:b/>
                <w:bCs/>
                <w:color w:val="FFFFFF" w:themeColor="background1"/>
                <w:szCs w:val="20"/>
                <w:lang w:eastAsia="en-US"/>
              </w:rPr>
              <w:t>Com</w:t>
            </w:r>
            <w:r>
              <w:rPr>
                <w:rFonts w:cs="Tahoma"/>
                <w:b/>
                <w:bCs/>
                <w:color w:val="FFFFFF" w:themeColor="background1"/>
                <w:szCs w:val="20"/>
                <w:lang w:eastAsia="en-US"/>
              </w:rPr>
              <w:t>pany</w:t>
            </w:r>
          </w:p>
        </w:tc>
      </w:tr>
      <w:tr w:rsidR="00644FB2" w:rsidRPr="00232395" w14:paraId="4FF5449F" w14:textId="77777777" w:rsidTr="003D171C">
        <w:trPr>
          <w:trHeight w:val="482"/>
        </w:trPr>
        <w:tc>
          <w:tcPr>
            <w:tcW w:w="3534" w:type="dxa"/>
            <w:shd w:val="clear" w:color="auto" w:fill="E1F6FF"/>
            <w:vAlign w:val="center"/>
          </w:tcPr>
          <w:p w14:paraId="3B7E5D52" w14:textId="77777777" w:rsidR="00644FB2" w:rsidRDefault="00644FB2" w:rsidP="002034B7">
            <w:r>
              <w:t>Wasundara Doradeniya</w:t>
            </w:r>
          </w:p>
        </w:tc>
        <w:tc>
          <w:tcPr>
            <w:tcW w:w="1516" w:type="dxa"/>
            <w:shd w:val="clear" w:color="auto" w:fill="E1F6FF"/>
            <w:vAlign w:val="center"/>
          </w:tcPr>
          <w:p w14:paraId="79CEDEB0" w14:textId="77777777" w:rsidR="00644FB2" w:rsidRDefault="00644FB2" w:rsidP="002034B7">
            <w:pPr>
              <w:rPr>
                <w:rFonts w:cs="Tahoma"/>
                <w:bCs/>
                <w:szCs w:val="20"/>
                <w:lang w:eastAsia="en-US"/>
              </w:rPr>
            </w:pPr>
            <w:r>
              <w:rPr>
                <w:rFonts w:cs="Tahoma"/>
                <w:bCs/>
                <w:szCs w:val="20"/>
                <w:lang w:eastAsia="en-US"/>
              </w:rPr>
              <w:t>WD</w:t>
            </w:r>
          </w:p>
        </w:tc>
        <w:tc>
          <w:tcPr>
            <w:tcW w:w="3597" w:type="dxa"/>
            <w:shd w:val="clear" w:color="auto" w:fill="E1F6FF"/>
            <w:vAlign w:val="center"/>
          </w:tcPr>
          <w:p w14:paraId="10420638" w14:textId="77777777" w:rsidR="00644FB2" w:rsidRDefault="00644FB2" w:rsidP="002034B7">
            <w:pPr>
              <w:rPr>
                <w:rFonts w:cs="Tahoma"/>
                <w:bCs/>
                <w:szCs w:val="20"/>
                <w:lang w:eastAsia="en-US"/>
              </w:rPr>
            </w:pPr>
            <w:r>
              <w:rPr>
                <w:rFonts w:cs="Tahoma"/>
                <w:bCs/>
                <w:szCs w:val="20"/>
                <w:lang w:eastAsia="en-US"/>
              </w:rPr>
              <w:t>ADBA</w:t>
            </w:r>
          </w:p>
        </w:tc>
      </w:tr>
      <w:tr w:rsidR="00644FB2" w:rsidRPr="00232395" w14:paraId="7FDC573C" w14:textId="77777777" w:rsidTr="00644FB2">
        <w:trPr>
          <w:trHeight w:val="482"/>
        </w:trPr>
        <w:tc>
          <w:tcPr>
            <w:tcW w:w="3534" w:type="dxa"/>
            <w:shd w:val="clear" w:color="auto" w:fill="auto"/>
          </w:tcPr>
          <w:p w14:paraId="0F565D09" w14:textId="77777777" w:rsidR="00644FB2" w:rsidRDefault="00644FB2" w:rsidP="0064030D">
            <w:r>
              <w:t>David Hurren</w:t>
            </w:r>
          </w:p>
        </w:tc>
        <w:tc>
          <w:tcPr>
            <w:tcW w:w="1516" w:type="dxa"/>
            <w:shd w:val="clear" w:color="auto" w:fill="auto"/>
            <w:vAlign w:val="center"/>
          </w:tcPr>
          <w:p w14:paraId="7F3BCA81" w14:textId="77777777" w:rsidR="00644FB2" w:rsidRDefault="00644FB2" w:rsidP="0064030D">
            <w:pPr>
              <w:rPr>
                <w:rFonts w:cs="Tahoma"/>
                <w:bCs/>
                <w:szCs w:val="20"/>
                <w:lang w:eastAsia="en-US"/>
              </w:rPr>
            </w:pPr>
            <w:r>
              <w:rPr>
                <w:rFonts w:cs="Tahoma"/>
                <w:bCs/>
                <w:szCs w:val="20"/>
                <w:lang w:eastAsia="en-US"/>
              </w:rPr>
              <w:t>DH</w:t>
            </w:r>
          </w:p>
        </w:tc>
        <w:tc>
          <w:tcPr>
            <w:tcW w:w="3597" w:type="dxa"/>
            <w:shd w:val="clear" w:color="auto" w:fill="auto"/>
            <w:vAlign w:val="center"/>
          </w:tcPr>
          <w:p w14:paraId="33D4A575" w14:textId="77777777" w:rsidR="00644FB2" w:rsidRDefault="00644FB2" w:rsidP="0064030D">
            <w:pPr>
              <w:rPr>
                <w:rFonts w:cs="Tahoma"/>
                <w:bCs/>
                <w:szCs w:val="20"/>
                <w:lang w:eastAsia="en-US"/>
              </w:rPr>
            </w:pPr>
            <w:r>
              <w:rPr>
                <w:rFonts w:cs="Tahoma"/>
                <w:bCs/>
                <w:szCs w:val="20"/>
                <w:lang w:eastAsia="en-US"/>
              </w:rPr>
              <w:t>BCGA</w:t>
            </w:r>
          </w:p>
        </w:tc>
      </w:tr>
      <w:tr w:rsidR="00644FB2" w:rsidRPr="00232395" w14:paraId="34F55483" w14:textId="77777777" w:rsidTr="003D171C">
        <w:trPr>
          <w:trHeight w:val="482"/>
        </w:trPr>
        <w:tc>
          <w:tcPr>
            <w:tcW w:w="3534" w:type="dxa"/>
            <w:shd w:val="clear" w:color="auto" w:fill="E1F6FF"/>
            <w:vAlign w:val="center"/>
          </w:tcPr>
          <w:p w14:paraId="430BA1EA" w14:textId="77777777" w:rsidR="00644FB2" w:rsidRDefault="00644FB2" w:rsidP="002034B7">
            <w:r>
              <w:t>Tom Knight</w:t>
            </w:r>
          </w:p>
        </w:tc>
        <w:tc>
          <w:tcPr>
            <w:tcW w:w="1516" w:type="dxa"/>
            <w:shd w:val="clear" w:color="auto" w:fill="E1F6FF"/>
            <w:vAlign w:val="center"/>
          </w:tcPr>
          <w:p w14:paraId="304F776F" w14:textId="77777777" w:rsidR="00644FB2" w:rsidRDefault="00644FB2" w:rsidP="002034B7">
            <w:pPr>
              <w:rPr>
                <w:rFonts w:cs="Tahoma"/>
                <w:bCs/>
                <w:szCs w:val="20"/>
                <w:lang w:eastAsia="en-US"/>
              </w:rPr>
            </w:pPr>
            <w:r>
              <w:rPr>
                <w:rFonts w:cs="Tahoma"/>
                <w:bCs/>
                <w:szCs w:val="20"/>
                <w:lang w:eastAsia="en-US"/>
              </w:rPr>
              <w:t>TK</w:t>
            </w:r>
          </w:p>
        </w:tc>
        <w:tc>
          <w:tcPr>
            <w:tcW w:w="3597" w:type="dxa"/>
            <w:shd w:val="clear" w:color="auto" w:fill="E1F6FF"/>
            <w:vAlign w:val="center"/>
          </w:tcPr>
          <w:p w14:paraId="73A5A69A" w14:textId="77777777" w:rsidR="00644FB2" w:rsidRDefault="00644FB2" w:rsidP="002034B7">
            <w:pPr>
              <w:rPr>
                <w:rFonts w:cs="Tahoma"/>
                <w:bCs/>
                <w:szCs w:val="20"/>
                <w:lang w:eastAsia="en-US"/>
              </w:rPr>
            </w:pPr>
            <w:r>
              <w:rPr>
                <w:rFonts w:cs="Tahoma"/>
                <w:bCs/>
                <w:szCs w:val="20"/>
                <w:lang w:eastAsia="en-US"/>
              </w:rPr>
              <w:t>Bohr</w:t>
            </w:r>
          </w:p>
        </w:tc>
      </w:tr>
      <w:tr w:rsidR="00644FB2" w:rsidRPr="00232395" w14:paraId="4BD9ECC4" w14:textId="77777777" w:rsidTr="003A5D0D">
        <w:trPr>
          <w:trHeight w:val="482"/>
        </w:trPr>
        <w:tc>
          <w:tcPr>
            <w:tcW w:w="3534" w:type="dxa"/>
            <w:shd w:val="clear" w:color="auto" w:fill="auto"/>
            <w:vAlign w:val="center"/>
          </w:tcPr>
          <w:p w14:paraId="42B7F517" w14:textId="77777777" w:rsidR="00644FB2" w:rsidRDefault="00644FB2" w:rsidP="002034B7">
            <w:r>
              <w:t>Stuart Easterbrook</w:t>
            </w:r>
          </w:p>
        </w:tc>
        <w:tc>
          <w:tcPr>
            <w:tcW w:w="1516" w:type="dxa"/>
            <w:shd w:val="clear" w:color="auto" w:fill="auto"/>
            <w:vAlign w:val="center"/>
          </w:tcPr>
          <w:p w14:paraId="2642427B" w14:textId="77777777" w:rsidR="00644FB2" w:rsidRDefault="00644FB2" w:rsidP="002034B7">
            <w:pPr>
              <w:rPr>
                <w:rFonts w:cs="Tahoma"/>
                <w:bCs/>
                <w:szCs w:val="20"/>
                <w:lang w:eastAsia="en-US"/>
              </w:rPr>
            </w:pPr>
            <w:r>
              <w:rPr>
                <w:rFonts w:cs="Tahoma"/>
                <w:bCs/>
                <w:szCs w:val="20"/>
                <w:lang w:eastAsia="en-US"/>
              </w:rPr>
              <w:t>SE</w:t>
            </w:r>
          </w:p>
        </w:tc>
        <w:tc>
          <w:tcPr>
            <w:tcW w:w="3597" w:type="dxa"/>
            <w:shd w:val="clear" w:color="auto" w:fill="auto"/>
            <w:vAlign w:val="center"/>
          </w:tcPr>
          <w:p w14:paraId="56FD3B54" w14:textId="77777777" w:rsidR="00644FB2" w:rsidRDefault="00644FB2" w:rsidP="002034B7">
            <w:pPr>
              <w:rPr>
                <w:rFonts w:cs="Tahoma"/>
                <w:bCs/>
                <w:szCs w:val="20"/>
                <w:lang w:eastAsia="en-US"/>
              </w:rPr>
            </w:pPr>
            <w:r>
              <w:rPr>
                <w:rFonts w:cs="Tahoma"/>
                <w:bCs/>
                <w:szCs w:val="20"/>
                <w:lang w:eastAsia="en-US"/>
              </w:rPr>
              <w:t>Cadent</w:t>
            </w:r>
          </w:p>
        </w:tc>
      </w:tr>
      <w:tr w:rsidR="00644FB2" w:rsidRPr="00232395" w14:paraId="7967F30A" w14:textId="77777777" w:rsidTr="00644FB2">
        <w:trPr>
          <w:trHeight w:val="482"/>
        </w:trPr>
        <w:tc>
          <w:tcPr>
            <w:tcW w:w="3534" w:type="dxa"/>
            <w:shd w:val="clear" w:color="auto" w:fill="E1F6FF"/>
            <w:vAlign w:val="center"/>
          </w:tcPr>
          <w:p w14:paraId="025D0096" w14:textId="77777777" w:rsidR="00644FB2" w:rsidRDefault="00644FB2" w:rsidP="002034B7">
            <w:r>
              <w:t>Alison Cartwright</w:t>
            </w:r>
          </w:p>
        </w:tc>
        <w:tc>
          <w:tcPr>
            <w:tcW w:w="1516" w:type="dxa"/>
            <w:shd w:val="clear" w:color="auto" w:fill="E1F6FF"/>
            <w:vAlign w:val="center"/>
          </w:tcPr>
          <w:p w14:paraId="44EC24C0" w14:textId="77777777" w:rsidR="00644FB2" w:rsidRDefault="00644FB2" w:rsidP="002034B7">
            <w:pPr>
              <w:rPr>
                <w:rFonts w:cs="Tahoma"/>
                <w:bCs/>
                <w:szCs w:val="20"/>
                <w:lang w:eastAsia="en-US"/>
              </w:rPr>
            </w:pPr>
            <w:r>
              <w:rPr>
                <w:rFonts w:cs="Tahoma"/>
                <w:bCs/>
                <w:szCs w:val="20"/>
                <w:lang w:eastAsia="en-US"/>
              </w:rPr>
              <w:t>AC</w:t>
            </w:r>
          </w:p>
        </w:tc>
        <w:tc>
          <w:tcPr>
            <w:tcW w:w="3597" w:type="dxa"/>
            <w:shd w:val="clear" w:color="auto" w:fill="E1F6FF"/>
            <w:vAlign w:val="center"/>
          </w:tcPr>
          <w:p w14:paraId="324AC4AD" w14:textId="77777777" w:rsidR="00644FB2" w:rsidRDefault="00644FB2" w:rsidP="002034B7">
            <w:pPr>
              <w:rPr>
                <w:rFonts w:cs="Tahoma"/>
                <w:bCs/>
                <w:szCs w:val="20"/>
                <w:lang w:eastAsia="en-US"/>
              </w:rPr>
            </w:pPr>
            <w:r>
              <w:rPr>
                <w:rFonts w:cs="Tahoma"/>
                <w:bCs/>
                <w:szCs w:val="20"/>
                <w:lang w:eastAsia="en-US"/>
              </w:rPr>
              <w:t>CNG Services</w:t>
            </w:r>
          </w:p>
        </w:tc>
      </w:tr>
      <w:tr w:rsidR="00644FB2" w:rsidRPr="00232395" w14:paraId="1DFEF8E6" w14:textId="77777777" w:rsidTr="00644FB2">
        <w:trPr>
          <w:trHeight w:val="482"/>
        </w:trPr>
        <w:tc>
          <w:tcPr>
            <w:tcW w:w="3534" w:type="dxa"/>
            <w:shd w:val="clear" w:color="auto" w:fill="auto"/>
            <w:vAlign w:val="center"/>
          </w:tcPr>
          <w:p w14:paraId="23E3D0CD" w14:textId="77777777" w:rsidR="00644FB2" w:rsidRPr="00232395" w:rsidRDefault="00644FB2" w:rsidP="002034B7">
            <w:pPr>
              <w:rPr>
                <w:rFonts w:cs="Tahoma"/>
                <w:bCs/>
                <w:szCs w:val="20"/>
                <w:lang w:eastAsia="en-US"/>
              </w:rPr>
            </w:pPr>
            <w:r>
              <w:rPr>
                <w:rFonts w:cs="Tahoma"/>
                <w:bCs/>
                <w:szCs w:val="20"/>
                <w:lang w:eastAsia="en-US"/>
              </w:rPr>
              <w:t>Chris Stratton</w:t>
            </w:r>
          </w:p>
        </w:tc>
        <w:tc>
          <w:tcPr>
            <w:tcW w:w="1516" w:type="dxa"/>
            <w:shd w:val="clear" w:color="auto" w:fill="auto"/>
            <w:vAlign w:val="center"/>
          </w:tcPr>
          <w:p w14:paraId="75CE2036" w14:textId="77777777" w:rsidR="00644FB2" w:rsidRPr="00232395" w:rsidRDefault="00644FB2" w:rsidP="002034B7">
            <w:pPr>
              <w:rPr>
                <w:rFonts w:cs="Tahoma"/>
                <w:bCs/>
                <w:szCs w:val="20"/>
                <w:lang w:eastAsia="en-US"/>
              </w:rPr>
            </w:pPr>
            <w:r>
              <w:rPr>
                <w:rFonts w:cs="Tahoma"/>
                <w:bCs/>
                <w:szCs w:val="20"/>
                <w:lang w:eastAsia="en-US"/>
              </w:rPr>
              <w:t>CS</w:t>
            </w:r>
          </w:p>
        </w:tc>
        <w:tc>
          <w:tcPr>
            <w:tcW w:w="3597" w:type="dxa"/>
            <w:shd w:val="clear" w:color="auto" w:fill="auto"/>
            <w:vAlign w:val="center"/>
          </w:tcPr>
          <w:p w14:paraId="7FB6AC5A" w14:textId="77777777" w:rsidR="00644FB2" w:rsidRPr="00232395" w:rsidRDefault="00644FB2" w:rsidP="002034B7">
            <w:pPr>
              <w:rPr>
                <w:rFonts w:cs="Tahoma"/>
                <w:bCs/>
                <w:szCs w:val="20"/>
                <w:lang w:eastAsia="en-US"/>
              </w:rPr>
            </w:pPr>
            <w:r>
              <w:rPr>
                <w:rFonts w:cs="Tahoma"/>
                <w:bCs/>
                <w:szCs w:val="20"/>
                <w:lang w:eastAsia="en-US"/>
              </w:rPr>
              <w:t>ENA</w:t>
            </w:r>
          </w:p>
        </w:tc>
      </w:tr>
      <w:tr w:rsidR="00644FB2" w:rsidRPr="00232395" w14:paraId="56AE5CAC" w14:textId="77777777" w:rsidTr="00982211">
        <w:trPr>
          <w:trHeight w:val="482"/>
        </w:trPr>
        <w:tc>
          <w:tcPr>
            <w:tcW w:w="3534" w:type="dxa"/>
            <w:shd w:val="clear" w:color="auto" w:fill="E1F6FF"/>
          </w:tcPr>
          <w:p w14:paraId="599F614D" w14:textId="77777777" w:rsidR="00644FB2" w:rsidRDefault="00644FB2" w:rsidP="0064030D">
            <w:r w:rsidRPr="00AA59C3">
              <w:t>Sharon Spain</w:t>
            </w:r>
          </w:p>
        </w:tc>
        <w:tc>
          <w:tcPr>
            <w:tcW w:w="1516" w:type="dxa"/>
            <w:shd w:val="clear" w:color="auto" w:fill="E1F6FF"/>
            <w:vAlign w:val="center"/>
          </w:tcPr>
          <w:p w14:paraId="5264A754" w14:textId="77777777" w:rsidR="00644FB2" w:rsidRDefault="00644FB2" w:rsidP="0064030D">
            <w:pPr>
              <w:rPr>
                <w:rFonts w:cs="Tahoma"/>
                <w:bCs/>
                <w:szCs w:val="20"/>
                <w:lang w:eastAsia="en-US"/>
              </w:rPr>
            </w:pPr>
            <w:r>
              <w:rPr>
                <w:rFonts w:cs="Tahoma"/>
                <w:bCs/>
                <w:szCs w:val="20"/>
                <w:lang w:eastAsia="en-US"/>
              </w:rPr>
              <w:t>SS</w:t>
            </w:r>
          </w:p>
        </w:tc>
        <w:tc>
          <w:tcPr>
            <w:tcW w:w="3597" w:type="dxa"/>
            <w:shd w:val="clear" w:color="auto" w:fill="E1F6FF"/>
            <w:vAlign w:val="center"/>
          </w:tcPr>
          <w:p w14:paraId="7A7431FB" w14:textId="77777777" w:rsidR="00644FB2" w:rsidRDefault="00644FB2" w:rsidP="0064030D">
            <w:pPr>
              <w:rPr>
                <w:rFonts w:cs="Tahoma"/>
                <w:bCs/>
                <w:szCs w:val="20"/>
                <w:lang w:eastAsia="en-US"/>
              </w:rPr>
            </w:pPr>
            <w:r>
              <w:rPr>
                <w:rFonts w:cs="Tahoma"/>
                <w:bCs/>
                <w:szCs w:val="20"/>
                <w:lang w:eastAsia="en-US"/>
              </w:rPr>
              <w:t>Future Biogas</w:t>
            </w:r>
          </w:p>
        </w:tc>
      </w:tr>
      <w:tr w:rsidR="00644FB2" w:rsidRPr="00232395" w14:paraId="1A72C9BD" w14:textId="77777777" w:rsidTr="00644FB2">
        <w:trPr>
          <w:trHeight w:val="482"/>
        </w:trPr>
        <w:tc>
          <w:tcPr>
            <w:tcW w:w="3534" w:type="dxa"/>
            <w:shd w:val="clear" w:color="auto" w:fill="auto"/>
            <w:vAlign w:val="center"/>
          </w:tcPr>
          <w:p w14:paraId="7A26214D" w14:textId="77777777" w:rsidR="00644FB2" w:rsidRDefault="00644FB2" w:rsidP="002034B7">
            <w:r>
              <w:t>Ian McClusky</w:t>
            </w:r>
          </w:p>
        </w:tc>
        <w:tc>
          <w:tcPr>
            <w:tcW w:w="1516" w:type="dxa"/>
            <w:shd w:val="clear" w:color="auto" w:fill="auto"/>
            <w:vAlign w:val="center"/>
          </w:tcPr>
          <w:p w14:paraId="23D8799D" w14:textId="77777777" w:rsidR="00644FB2" w:rsidRDefault="00644FB2" w:rsidP="002034B7">
            <w:pPr>
              <w:rPr>
                <w:rFonts w:cs="Tahoma"/>
                <w:bCs/>
                <w:szCs w:val="20"/>
                <w:lang w:eastAsia="en-US"/>
              </w:rPr>
            </w:pPr>
            <w:r>
              <w:rPr>
                <w:rFonts w:cs="Tahoma"/>
                <w:bCs/>
                <w:szCs w:val="20"/>
                <w:lang w:eastAsia="en-US"/>
              </w:rPr>
              <w:t>IMC</w:t>
            </w:r>
          </w:p>
        </w:tc>
        <w:tc>
          <w:tcPr>
            <w:tcW w:w="3597" w:type="dxa"/>
            <w:shd w:val="clear" w:color="auto" w:fill="auto"/>
            <w:vAlign w:val="center"/>
          </w:tcPr>
          <w:p w14:paraId="42BE5294" w14:textId="77777777" w:rsidR="00644FB2" w:rsidRDefault="00644FB2" w:rsidP="002034B7">
            <w:pPr>
              <w:rPr>
                <w:rFonts w:cs="Tahoma"/>
                <w:bCs/>
                <w:szCs w:val="20"/>
                <w:lang w:eastAsia="en-US"/>
              </w:rPr>
            </w:pPr>
            <w:r>
              <w:rPr>
                <w:rFonts w:cs="Tahoma"/>
                <w:bCs/>
                <w:szCs w:val="20"/>
                <w:lang w:eastAsia="en-US"/>
              </w:rPr>
              <w:t>IGEM</w:t>
            </w:r>
          </w:p>
        </w:tc>
      </w:tr>
      <w:tr w:rsidR="00644FB2" w:rsidRPr="00232395" w14:paraId="3B4E757F" w14:textId="77777777" w:rsidTr="00644FB2">
        <w:trPr>
          <w:trHeight w:val="482"/>
        </w:trPr>
        <w:tc>
          <w:tcPr>
            <w:tcW w:w="3534" w:type="dxa"/>
            <w:shd w:val="clear" w:color="auto" w:fill="E1F6FF"/>
            <w:vAlign w:val="center"/>
          </w:tcPr>
          <w:p w14:paraId="40B2268F" w14:textId="77777777" w:rsidR="00644FB2" w:rsidRDefault="00644FB2" w:rsidP="002034B7">
            <w:r>
              <w:t>Rebecca Hailes</w:t>
            </w:r>
          </w:p>
        </w:tc>
        <w:tc>
          <w:tcPr>
            <w:tcW w:w="1516" w:type="dxa"/>
            <w:shd w:val="clear" w:color="auto" w:fill="E1F6FF"/>
            <w:vAlign w:val="center"/>
          </w:tcPr>
          <w:p w14:paraId="0D7E200F" w14:textId="77777777" w:rsidR="00644FB2" w:rsidRDefault="00644FB2" w:rsidP="002034B7">
            <w:pPr>
              <w:rPr>
                <w:rFonts w:cs="Tahoma"/>
                <w:bCs/>
                <w:szCs w:val="20"/>
                <w:lang w:eastAsia="en-US"/>
              </w:rPr>
            </w:pPr>
            <w:r>
              <w:rPr>
                <w:rFonts w:cs="Tahoma"/>
                <w:bCs/>
                <w:szCs w:val="20"/>
                <w:lang w:eastAsia="en-US"/>
              </w:rPr>
              <w:t>RH</w:t>
            </w:r>
          </w:p>
        </w:tc>
        <w:tc>
          <w:tcPr>
            <w:tcW w:w="3597" w:type="dxa"/>
            <w:shd w:val="clear" w:color="auto" w:fill="E1F6FF"/>
            <w:vAlign w:val="center"/>
          </w:tcPr>
          <w:p w14:paraId="3AA08656" w14:textId="77777777" w:rsidR="00644FB2" w:rsidRDefault="00644FB2" w:rsidP="002034B7">
            <w:pPr>
              <w:rPr>
                <w:rFonts w:cs="Tahoma"/>
                <w:bCs/>
                <w:szCs w:val="20"/>
                <w:lang w:eastAsia="en-US"/>
              </w:rPr>
            </w:pPr>
            <w:r>
              <w:rPr>
                <w:rFonts w:cs="Tahoma"/>
                <w:bCs/>
                <w:szCs w:val="20"/>
                <w:lang w:eastAsia="en-US"/>
              </w:rPr>
              <w:t>Joint Office of Gas Transporters</w:t>
            </w:r>
          </w:p>
        </w:tc>
      </w:tr>
      <w:tr w:rsidR="00644FB2" w:rsidRPr="00232395" w14:paraId="16E41E36" w14:textId="77777777" w:rsidTr="00644FB2">
        <w:trPr>
          <w:trHeight w:val="482"/>
        </w:trPr>
        <w:tc>
          <w:tcPr>
            <w:tcW w:w="3534" w:type="dxa"/>
            <w:shd w:val="clear" w:color="auto" w:fill="auto"/>
          </w:tcPr>
          <w:p w14:paraId="4BFE6453" w14:textId="77777777" w:rsidR="00644FB2" w:rsidRDefault="00644FB2" w:rsidP="0064030D">
            <w:r w:rsidRPr="00AA59C3">
              <w:t>Emmet McFadden</w:t>
            </w:r>
          </w:p>
        </w:tc>
        <w:tc>
          <w:tcPr>
            <w:tcW w:w="1516" w:type="dxa"/>
            <w:shd w:val="clear" w:color="auto" w:fill="auto"/>
            <w:vAlign w:val="center"/>
          </w:tcPr>
          <w:p w14:paraId="795BA029" w14:textId="77777777" w:rsidR="00644FB2" w:rsidRDefault="00644FB2" w:rsidP="0064030D">
            <w:pPr>
              <w:rPr>
                <w:rFonts w:cs="Tahoma"/>
                <w:bCs/>
                <w:szCs w:val="20"/>
                <w:lang w:eastAsia="en-US"/>
              </w:rPr>
            </w:pPr>
            <w:r>
              <w:rPr>
                <w:rFonts w:cs="Tahoma"/>
                <w:bCs/>
                <w:szCs w:val="20"/>
                <w:lang w:eastAsia="en-US"/>
              </w:rPr>
              <w:t>EMF</w:t>
            </w:r>
          </w:p>
        </w:tc>
        <w:tc>
          <w:tcPr>
            <w:tcW w:w="3597" w:type="dxa"/>
            <w:shd w:val="clear" w:color="auto" w:fill="auto"/>
            <w:vAlign w:val="center"/>
          </w:tcPr>
          <w:p w14:paraId="4B1C4732" w14:textId="77777777" w:rsidR="00644FB2" w:rsidRDefault="00644FB2" w:rsidP="0064030D">
            <w:pPr>
              <w:rPr>
                <w:rFonts w:cs="Tahoma"/>
                <w:bCs/>
                <w:szCs w:val="20"/>
                <w:lang w:eastAsia="en-US"/>
              </w:rPr>
            </w:pPr>
            <w:r>
              <w:rPr>
                <w:rFonts w:cs="Tahoma"/>
                <w:bCs/>
                <w:szCs w:val="20"/>
                <w:lang w:eastAsia="en-US"/>
              </w:rPr>
              <w:t>Mutual Energy</w:t>
            </w:r>
          </w:p>
        </w:tc>
      </w:tr>
      <w:tr w:rsidR="00644FB2" w:rsidRPr="00232395" w14:paraId="6B1471E5" w14:textId="77777777" w:rsidTr="00982211">
        <w:trPr>
          <w:trHeight w:val="482"/>
        </w:trPr>
        <w:tc>
          <w:tcPr>
            <w:tcW w:w="3534" w:type="dxa"/>
            <w:shd w:val="clear" w:color="auto" w:fill="E1F6FF"/>
          </w:tcPr>
          <w:p w14:paraId="4867B750" w14:textId="77777777" w:rsidR="00644FB2" w:rsidRDefault="00644FB2" w:rsidP="0064030D">
            <w:r>
              <w:t>Niamh Kyle</w:t>
            </w:r>
          </w:p>
        </w:tc>
        <w:tc>
          <w:tcPr>
            <w:tcW w:w="1516" w:type="dxa"/>
            <w:shd w:val="clear" w:color="auto" w:fill="E1F6FF"/>
            <w:vAlign w:val="center"/>
          </w:tcPr>
          <w:p w14:paraId="4DF04CA8" w14:textId="77777777" w:rsidR="00644FB2" w:rsidRDefault="00644FB2" w:rsidP="0064030D">
            <w:pPr>
              <w:rPr>
                <w:rFonts w:cs="Tahoma"/>
                <w:bCs/>
                <w:szCs w:val="20"/>
                <w:lang w:eastAsia="en-US"/>
              </w:rPr>
            </w:pPr>
            <w:r>
              <w:rPr>
                <w:rFonts w:cs="Tahoma"/>
                <w:bCs/>
                <w:szCs w:val="20"/>
                <w:lang w:eastAsia="en-US"/>
              </w:rPr>
              <w:t>NK</w:t>
            </w:r>
          </w:p>
        </w:tc>
        <w:tc>
          <w:tcPr>
            <w:tcW w:w="3597" w:type="dxa"/>
            <w:shd w:val="clear" w:color="auto" w:fill="E1F6FF"/>
            <w:vAlign w:val="center"/>
          </w:tcPr>
          <w:p w14:paraId="16B9A5A5" w14:textId="77777777" w:rsidR="00644FB2" w:rsidRDefault="00644FB2" w:rsidP="0064030D">
            <w:pPr>
              <w:rPr>
                <w:rFonts w:cs="Tahoma"/>
                <w:bCs/>
                <w:szCs w:val="20"/>
                <w:lang w:eastAsia="en-US"/>
              </w:rPr>
            </w:pPr>
            <w:r>
              <w:rPr>
                <w:rFonts w:cs="Tahoma"/>
                <w:bCs/>
                <w:szCs w:val="20"/>
                <w:lang w:eastAsia="en-US"/>
              </w:rPr>
              <w:t>Mutual Energy</w:t>
            </w:r>
          </w:p>
        </w:tc>
      </w:tr>
      <w:tr w:rsidR="00644FB2" w:rsidRPr="00232395" w14:paraId="60BA00EC" w14:textId="77777777" w:rsidTr="00644FB2">
        <w:trPr>
          <w:trHeight w:val="482"/>
        </w:trPr>
        <w:tc>
          <w:tcPr>
            <w:tcW w:w="3534" w:type="dxa"/>
            <w:shd w:val="clear" w:color="auto" w:fill="auto"/>
          </w:tcPr>
          <w:p w14:paraId="0A625EEC" w14:textId="77777777" w:rsidR="00644FB2" w:rsidRDefault="00644FB2" w:rsidP="0064030D">
            <w:r w:rsidRPr="00AA59C3">
              <w:t>Peter Thomson</w:t>
            </w:r>
          </w:p>
        </w:tc>
        <w:tc>
          <w:tcPr>
            <w:tcW w:w="1516" w:type="dxa"/>
            <w:shd w:val="clear" w:color="auto" w:fill="auto"/>
            <w:vAlign w:val="center"/>
          </w:tcPr>
          <w:p w14:paraId="7AE0399B" w14:textId="77777777" w:rsidR="00644FB2" w:rsidRDefault="00644FB2" w:rsidP="0064030D">
            <w:pPr>
              <w:rPr>
                <w:rFonts w:cs="Tahoma"/>
                <w:bCs/>
                <w:szCs w:val="20"/>
                <w:lang w:eastAsia="en-US"/>
              </w:rPr>
            </w:pPr>
            <w:r>
              <w:rPr>
                <w:rFonts w:cs="Tahoma"/>
                <w:bCs/>
                <w:szCs w:val="20"/>
                <w:lang w:eastAsia="en-US"/>
              </w:rPr>
              <w:t>PT</w:t>
            </w:r>
          </w:p>
        </w:tc>
        <w:tc>
          <w:tcPr>
            <w:tcW w:w="3597" w:type="dxa"/>
            <w:shd w:val="clear" w:color="auto" w:fill="auto"/>
            <w:vAlign w:val="center"/>
          </w:tcPr>
          <w:p w14:paraId="070EE028" w14:textId="77777777" w:rsidR="00644FB2" w:rsidRDefault="00644FB2" w:rsidP="0064030D">
            <w:pPr>
              <w:rPr>
                <w:rFonts w:cs="Tahoma"/>
                <w:bCs/>
                <w:szCs w:val="20"/>
                <w:lang w:eastAsia="en-US"/>
              </w:rPr>
            </w:pPr>
            <w:r>
              <w:rPr>
                <w:rFonts w:cs="Tahoma"/>
                <w:bCs/>
                <w:szCs w:val="20"/>
                <w:lang w:eastAsia="en-US"/>
              </w:rPr>
              <w:t>NGN</w:t>
            </w:r>
          </w:p>
        </w:tc>
      </w:tr>
      <w:tr w:rsidR="00644FB2" w:rsidRPr="00232395" w14:paraId="7F7C0032" w14:textId="77777777" w:rsidTr="003D171C">
        <w:trPr>
          <w:trHeight w:val="482"/>
        </w:trPr>
        <w:tc>
          <w:tcPr>
            <w:tcW w:w="3534" w:type="dxa"/>
            <w:shd w:val="clear" w:color="auto" w:fill="E1F6FF"/>
            <w:vAlign w:val="center"/>
          </w:tcPr>
          <w:p w14:paraId="5AC245E2" w14:textId="77777777" w:rsidR="00644FB2" w:rsidRDefault="00644FB2" w:rsidP="002034B7">
            <w:r>
              <w:t>Russell Brown</w:t>
            </w:r>
          </w:p>
        </w:tc>
        <w:tc>
          <w:tcPr>
            <w:tcW w:w="1516" w:type="dxa"/>
            <w:shd w:val="clear" w:color="auto" w:fill="E1F6FF"/>
            <w:vAlign w:val="center"/>
          </w:tcPr>
          <w:p w14:paraId="69FFDB5F" w14:textId="77777777" w:rsidR="00644FB2" w:rsidRDefault="00644FB2" w:rsidP="002034B7">
            <w:pPr>
              <w:rPr>
                <w:rFonts w:cs="Tahoma"/>
                <w:bCs/>
                <w:szCs w:val="20"/>
                <w:lang w:eastAsia="en-US"/>
              </w:rPr>
            </w:pPr>
            <w:r>
              <w:rPr>
                <w:rFonts w:cs="Tahoma"/>
                <w:bCs/>
                <w:szCs w:val="20"/>
                <w:lang w:eastAsia="en-US"/>
              </w:rPr>
              <w:t>RB</w:t>
            </w:r>
          </w:p>
        </w:tc>
        <w:tc>
          <w:tcPr>
            <w:tcW w:w="3597" w:type="dxa"/>
            <w:shd w:val="clear" w:color="auto" w:fill="E1F6FF"/>
            <w:vAlign w:val="center"/>
          </w:tcPr>
          <w:p w14:paraId="178FB769" w14:textId="77777777" w:rsidR="00644FB2" w:rsidRDefault="00644FB2" w:rsidP="002034B7">
            <w:pPr>
              <w:rPr>
                <w:rFonts w:cs="Tahoma"/>
                <w:bCs/>
                <w:szCs w:val="20"/>
                <w:lang w:eastAsia="en-US"/>
              </w:rPr>
            </w:pPr>
            <w:r>
              <w:rPr>
                <w:rFonts w:cs="Tahoma"/>
                <w:bCs/>
                <w:szCs w:val="20"/>
                <w:lang w:eastAsia="en-US"/>
              </w:rPr>
              <w:t>nZero</w:t>
            </w:r>
          </w:p>
        </w:tc>
      </w:tr>
      <w:tr w:rsidR="00644FB2" w:rsidRPr="00232395" w14:paraId="6CC3F18E" w14:textId="77777777" w:rsidTr="003A5D0D">
        <w:trPr>
          <w:trHeight w:val="482"/>
        </w:trPr>
        <w:tc>
          <w:tcPr>
            <w:tcW w:w="3534" w:type="dxa"/>
            <w:shd w:val="clear" w:color="auto" w:fill="auto"/>
            <w:vAlign w:val="center"/>
          </w:tcPr>
          <w:p w14:paraId="53208230" w14:textId="77777777" w:rsidR="00644FB2" w:rsidRDefault="00644FB2" w:rsidP="002034B7">
            <w:r>
              <w:t>Sara Bartle</w:t>
            </w:r>
          </w:p>
        </w:tc>
        <w:tc>
          <w:tcPr>
            <w:tcW w:w="1516" w:type="dxa"/>
            <w:shd w:val="clear" w:color="auto" w:fill="auto"/>
            <w:vAlign w:val="center"/>
          </w:tcPr>
          <w:p w14:paraId="212F4760" w14:textId="77777777" w:rsidR="00644FB2" w:rsidRDefault="00644FB2" w:rsidP="002034B7">
            <w:pPr>
              <w:rPr>
                <w:rFonts w:cs="Tahoma"/>
                <w:bCs/>
                <w:szCs w:val="20"/>
                <w:lang w:eastAsia="en-US"/>
              </w:rPr>
            </w:pPr>
            <w:r>
              <w:rPr>
                <w:rFonts w:cs="Tahoma"/>
                <w:bCs/>
                <w:szCs w:val="20"/>
                <w:lang w:eastAsia="en-US"/>
              </w:rPr>
              <w:t>SB</w:t>
            </w:r>
          </w:p>
        </w:tc>
        <w:tc>
          <w:tcPr>
            <w:tcW w:w="3597" w:type="dxa"/>
            <w:shd w:val="clear" w:color="auto" w:fill="auto"/>
            <w:vAlign w:val="center"/>
          </w:tcPr>
          <w:p w14:paraId="2DD202D8" w14:textId="77777777" w:rsidR="00644FB2" w:rsidRDefault="00644FB2" w:rsidP="002034B7">
            <w:pPr>
              <w:rPr>
                <w:rFonts w:cs="Tahoma"/>
                <w:bCs/>
                <w:szCs w:val="20"/>
                <w:lang w:eastAsia="en-US"/>
              </w:rPr>
            </w:pPr>
            <w:r>
              <w:rPr>
                <w:rFonts w:cs="Tahoma"/>
                <w:bCs/>
                <w:szCs w:val="20"/>
                <w:lang w:eastAsia="en-US"/>
              </w:rPr>
              <w:t>REA</w:t>
            </w:r>
          </w:p>
        </w:tc>
      </w:tr>
      <w:tr w:rsidR="00644FB2" w:rsidRPr="00232395" w14:paraId="59E28081" w14:textId="77777777" w:rsidTr="00644FB2">
        <w:trPr>
          <w:trHeight w:val="482"/>
        </w:trPr>
        <w:tc>
          <w:tcPr>
            <w:tcW w:w="3534" w:type="dxa"/>
            <w:shd w:val="clear" w:color="auto" w:fill="E1F6FF"/>
            <w:vAlign w:val="center"/>
          </w:tcPr>
          <w:p w14:paraId="3416D3AA" w14:textId="77777777" w:rsidR="00644FB2" w:rsidRDefault="00644FB2" w:rsidP="002034B7">
            <w:r>
              <w:t>Arman Ali</w:t>
            </w:r>
          </w:p>
        </w:tc>
        <w:tc>
          <w:tcPr>
            <w:tcW w:w="1516" w:type="dxa"/>
            <w:shd w:val="clear" w:color="auto" w:fill="E1F6FF"/>
            <w:vAlign w:val="center"/>
          </w:tcPr>
          <w:p w14:paraId="6AC2FCFE" w14:textId="77777777" w:rsidR="00644FB2" w:rsidRDefault="00644FB2" w:rsidP="002034B7">
            <w:pPr>
              <w:rPr>
                <w:rFonts w:cs="Tahoma"/>
                <w:bCs/>
                <w:szCs w:val="20"/>
                <w:lang w:eastAsia="en-US"/>
              </w:rPr>
            </w:pPr>
            <w:r>
              <w:rPr>
                <w:rFonts w:cs="Tahoma"/>
                <w:bCs/>
                <w:szCs w:val="20"/>
                <w:lang w:eastAsia="en-US"/>
              </w:rPr>
              <w:t>AA</w:t>
            </w:r>
          </w:p>
        </w:tc>
        <w:tc>
          <w:tcPr>
            <w:tcW w:w="3597" w:type="dxa"/>
            <w:shd w:val="clear" w:color="auto" w:fill="E1F6FF"/>
            <w:vAlign w:val="center"/>
          </w:tcPr>
          <w:p w14:paraId="55708D1D" w14:textId="77777777" w:rsidR="00644FB2" w:rsidRDefault="00644FB2" w:rsidP="002034B7">
            <w:pPr>
              <w:rPr>
                <w:rFonts w:cs="Tahoma"/>
                <w:bCs/>
                <w:szCs w:val="20"/>
                <w:lang w:eastAsia="en-US"/>
              </w:rPr>
            </w:pPr>
            <w:r>
              <w:rPr>
                <w:rFonts w:cs="Tahoma"/>
                <w:bCs/>
                <w:szCs w:val="20"/>
                <w:lang w:eastAsia="en-US"/>
              </w:rPr>
              <w:t>SGN</w:t>
            </w:r>
          </w:p>
        </w:tc>
      </w:tr>
      <w:tr w:rsidR="00644FB2" w:rsidRPr="00232395" w14:paraId="048ED622" w14:textId="77777777" w:rsidTr="003A5D0D">
        <w:trPr>
          <w:trHeight w:val="482"/>
        </w:trPr>
        <w:tc>
          <w:tcPr>
            <w:tcW w:w="3534" w:type="dxa"/>
            <w:shd w:val="clear" w:color="auto" w:fill="auto"/>
            <w:vAlign w:val="center"/>
          </w:tcPr>
          <w:p w14:paraId="6168AF13" w14:textId="77777777" w:rsidR="00644FB2" w:rsidRDefault="00644FB2" w:rsidP="002034B7">
            <w:r>
              <w:t>Elysia Roy</w:t>
            </w:r>
          </w:p>
        </w:tc>
        <w:tc>
          <w:tcPr>
            <w:tcW w:w="1516" w:type="dxa"/>
            <w:shd w:val="clear" w:color="auto" w:fill="auto"/>
            <w:vAlign w:val="center"/>
          </w:tcPr>
          <w:p w14:paraId="0811606B" w14:textId="77777777" w:rsidR="00644FB2" w:rsidRDefault="00644FB2" w:rsidP="002034B7">
            <w:pPr>
              <w:rPr>
                <w:rFonts w:cs="Tahoma"/>
                <w:bCs/>
                <w:szCs w:val="20"/>
                <w:lang w:eastAsia="en-US"/>
              </w:rPr>
            </w:pPr>
            <w:r>
              <w:rPr>
                <w:rFonts w:cs="Tahoma"/>
                <w:bCs/>
                <w:szCs w:val="20"/>
                <w:lang w:eastAsia="en-US"/>
              </w:rPr>
              <w:t>ER</w:t>
            </w:r>
          </w:p>
        </w:tc>
        <w:tc>
          <w:tcPr>
            <w:tcW w:w="3597" w:type="dxa"/>
            <w:shd w:val="clear" w:color="auto" w:fill="auto"/>
            <w:vAlign w:val="center"/>
          </w:tcPr>
          <w:p w14:paraId="1DACADA8" w14:textId="77777777" w:rsidR="00644FB2" w:rsidRDefault="00644FB2" w:rsidP="002034B7">
            <w:pPr>
              <w:rPr>
                <w:rFonts w:cs="Tahoma"/>
                <w:bCs/>
                <w:szCs w:val="20"/>
                <w:lang w:eastAsia="en-US"/>
              </w:rPr>
            </w:pPr>
            <w:r>
              <w:rPr>
                <w:rFonts w:cs="Tahoma"/>
                <w:bCs/>
                <w:szCs w:val="20"/>
                <w:lang w:eastAsia="en-US"/>
              </w:rPr>
              <w:t>SGN</w:t>
            </w:r>
          </w:p>
        </w:tc>
      </w:tr>
      <w:tr w:rsidR="00644FB2" w:rsidRPr="00232395" w14:paraId="4AC14EA8" w14:textId="77777777" w:rsidTr="00644FB2">
        <w:trPr>
          <w:trHeight w:val="482"/>
        </w:trPr>
        <w:tc>
          <w:tcPr>
            <w:tcW w:w="3534" w:type="dxa"/>
            <w:shd w:val="clear" w:color="auto" w:fill="E1F6FF"/>
            <w:vAlign w:val="center"/>
          </w:tcPr>
          <w:p w14:paraId="76B9907E" w14:textId="77777777" w:rsidR="00644FB2" w:rsidRDefault="00644FB2" w:rsidP="002034B7">
            <w:r>
              <w:t>Joel Martin (Chair)</w:t>
            </w:r>
          </w:p>
        </w:tc>
        <w:tc>
          <w:tcPr>
            <w:tcW w:w="1516" w:type="dxa"/>
            <w:shd w:val="clear" w:color="auto" w:fill="E1F6FF"/>
            <w:vAlign w:val="center"/>
          </w:tcPr>
          <w:p w14:paraId="47E9302D" w14:textId="77777777" w:rsidR="00644FB2" w:rsidRDefault="00644FB2" w:rsidP="002034B7">
            <w:pPr>
              <w:rPr>
                <w:rFonts w:cs="Tahoma"/>
                <w:bCs/>
                <w:szCs w:val="20"/>
                <w:lang w:eastAsia="en-US"/>
              </w:rPr>
            </w:pPr>
            <w:r>
              <w:rPr>
                <w:rFonts w:cs="Tahoma"/>
                <w:bCs/>
                <w:szCs w:val="20"/>
                <w:lang w:eastAsia="en-US"/>
              </w:rPr>
              <w:t>JM</w:t>
            </w:r>
          </w:p>
        </w:tc>
        <w:tc>
          <w:tcPr>
            <w:tcW w:w="3597" w:type="dxa"/>
            <w:shd w:val="clear" w:color="auto" w:fill="E1F6FF"/>
            <w:vAlign w:val="center"/>
          </w:tcPr>
          <w:p w14:paraId="57EA18AB" w14:textId="77777777" w:rsidR="00644FB2" w:rsidRDefault="00644FB2" w:rsidP="002034B7">
            <w:pPr>
              <w:rPr>
                <w:rFonts w:cs="Tahoma"/>
                <w:bCs/>
                <w:szCs w:val="20"/>
                <w:lang w:eastAsia="en-US"/>
              </w:rPr>
            </w:pPr>
            <w:r>
              <w:rPr>
                <w:rFonts w:cs="Tahoma"/>
                <w:bCs/>
                <w:szCs w:val="20"/>
                <w:lang w:eastAsia="en-US"/>
              </w:rPr>
              <w:t>SGN</w:t>
            </w:r>
          </w:p>
        </w:tc>
      </w:tr>
      <w:tr w:rsidR="00644FB2" w:rsidRPr="00232395" w14:paraId="178A48DD" w14:textId="77777777" w:rsidTr="003D171C">
        <w:trPr>
          <w:trHeight w:val="482"/>
        </w:trPr>
        <w:tc>
          <w:tcPr>
            <w:tcW w:w="3534" w:type="dxa"/>
            <w:shd w:val="clear" w:color="auto" w:fill="auto"/>
            <w:vAlign w:val="center"/>
          </w:tcPr>
          <w:p w14:paraId="74F36A81" w14:textId="77777777" w:rsidR="00644FB2" w:rsidRDefault="00644FB2" w:rsidP="002034B7">
            <w:r>
              <w:t>Lorna Archer</w:t>
            </w:r>
          </w:p>
        </w:tc>
        <w:tc>
          <w:tcPr>
            <w:tcW w:w="1516" w:type="dxa"/>
            <w:shd w:val="clear" w:color="auto" w:fill="auto"/>
            <w:vAlign w:val="center"/>
          </w:tcPr>
          <w:p w14:paraId="3949D126" w14:textId="77777777" w:rsidR="00644FB2" w:rsidRDefault="00644FB2" w:rsidP="002034B7">
            <w:pPr>
              <w:rPr>
                <w:rFonts w:cs="Tahoma"/>
                <w:bCs/>
                <w:szCs w:val="20"/>
                <w:lang w:eastAsia="en-US"/>
              </w:rPr>
            </w:pPr>
            <w:r>
              <w:rPr>
                <w:rFonts w:cs="Tahoma"/>
                <w:bCs/>
                <w:szCs w:val="20"/>
                <w:lang w:eastAsia="en-US"/>
              </w:rPr>
              <w:t>LA</w:t>
            </w:r>
          </w:p>
        </w:tc>
        <w:tc>
          <w:tcPr>
            <w:tcW w:w="3597" w:type="dxa"/>
            <w:shd w:val="clear" w:color="auto" w:fill="auto"/>
            <w:vAlign w:val="center"/>
          </w:tcPr>
          <w:p w14:paraId="5FE96310" w14:textId="77777777" w:rsidR="00644FB2" w:rsidRDefault="00644FB2" w:rsidP="002034B7">
            <w:pPr>
              <w:rPr>
                <w:rFonts w:cs="Tahoma"/>
                <w:bCs/>
                <w:szCs w:val="20"/>
                <w:lang w:eastAsia="en-US"/>
              </w:rPr>
            </w:pPr>
            <w:r>
              <w:rPr>
                <w:rFonts w:cs="Tahoma"/>
                <w:bCs/>
                <w:szCs w:val="20"/>
                <w:lang w:eastAsia="en-US"/>
              </w:rPr>
              <w:t>SGN</w:t>
            </w:r>
          </w:p>
        </w:tc>
      </w:tr>
      <w:tr w:rsidR="00644FB2" w:rsidRPr="00232395" w14:paraId="0F348CB5" w14:textId="77777777" w:rsidTr="003D171C">
        <w:trPr>
          <w:trHeight w:val="482"/>
        </w:trPr>
        <w:tc>
          <w:tcPr>
            <w:tcW w:w="3534" w:type="dxa"/>
            <w:shd w:val="clear" w:color="auto" w:fill="E1F6FF"/>
            <w:vAlign w:val="center"/>
          </w:tcPr>
          <w:p w14:paraId="2F19F6EA" w14:textId="77777777" w:rsidR="00644FB2" w:rsidRDefault="00644FB2" w:rsidP="002034B7">
            <w:r>
              <w:t>Tony Gillespie</w:t>
            </w:r>
          </w:p>
        </w:tc>
        <w:tc>
          <w:tcPr>
            <w:tcW w:w="1516" w:type="dxa"/>
            <w:shd w:val="clear" w:color="auto" w:fill="E1F6FF"/>
            <w:vAlign w:val="center"/>
          </w:tcPr>
          <w:p w14:paraId="1222446E" w14:textId="77777777" w:rsidR="00644FB2" w:rsidRDefault="00644FB2" w:rsidP="002034B7">
            <w:pPr>
              <w:rPr>
                <w:rFonts w:cs="Tahoma"/>
                <w:bCs/>
                <w:szCs w:val="20"/>
                <w:lang w:eastAsia="en-US"/>
              </w:rPr>
            </w:pPr>
            <w:r>
              <w:rPr>
                <w:rFonts w:cs="Tahoma"/>
                <w:bCs/>
                <w:szCs w:val="20"/>
                <w:lang w:eastAsia="en-US"/>
              </w:rPr>
              <w:t>TG</w:t>
            </w:r>
          </w:p>
        </w:tc>
        <w:tc>
          <w:tcPr>
            <w:tcW w:w="3597" w:type="dxa"/>
            <w:shd w:val="clear" w:color="auto" w:fill="E1F6FF"/>
            <w:vAlign w:val="center"/>
          </w:tcPr>
          <w:p w14:paraId="47A7E622" w14:textId="77777777" w:rsidR="00644FB2" w:rsidRDefault="00644FB2" w:rsidP="002034B7">
            <w:pPr>
              <w:rPr>
                <w:rFonts w:cs="Tahoma"/>
                <w:bCs/>
                <w:szCs w:val="20"/>
                <w:lang w:eastAsia="en-US"/>
              </w:rPr>
            </w:pPr>
            <w:r>
              <w:rPr>
                <w:rFonts w:cs="Tahoma"/>
                <w:bCs/>
                <w:szCs w:val="20"/>
                <w:lang w:eastAsia="en-US"/>
              </w:rPr>
              <w:t>SGN</w:t>
            </w:r>
          </w:p>
        </w:tc>
      </w:tr>
      <w:tr w:rsidR="00644FB2" w:rsidRPr="00232395" w14:paraId="33512C53" w14:textId="77777777" w:rsidTr="00644FB2">
        <w:trPr>
          <w:trHeight w:val="482"/>
        </w:trPr>
        <w:tc>
          <w:tcPr>
            <w:tcW w:w="3534" w:type="dxa"/>
            <w:shd w:val="clear" w:color="auto" w:fill="auto"/>
          </w:tcPr>
          <w:p w14:paraId="6E06B3DF" w14:textId="77777777" w:rsidR="00644FB2" w:rsidRDefault="00644FB2" w:rsidP="0064030D">
            <w:r w:rsidRPr="00AA59C3">
              <w:t>Andy Bidston</w:t>
            </w:r>
          </w:p>
        </w:tc>
        <w:tc>
          <w:tcPr>
            <w:tcW w:w="1516" w:type="dxa"/>
            <w:shd w:val="clear" w:color="auto" w:fill="auto"/>
            <w:vAlign w:val="center"/>
          </w:tcPr>
          <w:p w14:paraId="122F7417" w14:textId="77777777" w:rsidR="00644FB2" w:rsidRDefault="00644FB2" w:rsidP="0064030D">
            <w:pPr>
              <w:rPr>
                <w:rFonts w:cs="Tahoma"/>
                <w:bCs/>
                <w:szCs w:val="20"/>
                <w:lang w:eastAsia="en-US"/>
              </w:rPr>
            </w:pPr>
            <w:r>
              <w:rPr>
                <w:rFonts w:cs="Tahoma"/>
                <w:bCs/>
                <w:szCs w:val="20"/>
                <w:lang w:eastAsia="en-US"/>
              </w:rPr>
              <w:t>AB</w:t>
            </w:r>
          </w:p>
        </w:tc>
        <w:tc>
          <w:tcPr>
            <w:tcW w:w="3597" w:type="dxa"/>
            <w:shd w:val="clear" w:color="auto" w:fill="auto"/>
            <w:vAlign w:val="center"/>
          </w:tcPr>
          <w:p w14:paraId="4185566B" w14:textId="77777777" w:rsidR="00644FB2" w:rsidRDefault="00644FB2" w:rsidP="0064030D">
            <w:pPr>
              <w:rPr>
                <w:rFonts w:cs="Tahoma"/>
                <w:bCs/>
                <w:szCs w:val="20"/>
                <w:lang w:eastAsia="en-US"/>
              </w:rPr>
            </w:pPr>
            <w:r>
              <w:rPr>
                <w:rFonts w:cs="Tahoma"/>
                <w:bCs/>
                <w:szCs w:val="20"/>
                <w:lang w:eastAsia="en-US"/>
              </w:rPr>
              <w:t>Thyson</w:t>
            </w:r>
          </w:p>
        </w:tc>
      </w:tr>
      <w:tr w:rsidR="00644FB2" w:rsidRPr="00232395" w14:paraId="2EDBA37B" w14:textId="77777777" w:rsidTr="003D171C">
        <w:trPr>
          <w:trHeight w:val="482"/>
        </w:trPr>
        <w:tc>
          <w:tcPr>
            <w:tcW w:w="3534" w:type="dxa"/>
            <w:shd w:val="clear" w:color="auto" w:fill="E1F6FF"/>
            <w:vAlign w:val="center"/>
          </w:tcPr>
          <w:p w14:paraId="4C1E43BE" w14:textId="77777777" w:rsidR="00644FB2" w:rsidRDefault="00644FB2" w:rsidP="002034B7">
            <w:r>
              <w:t>Charlotte Marcel</w:t>
            </w:r>
          </w:p>
        </w:tc>
        <w:tc>
          <w:tcPr>
            <w:tcW w:w="1516" w:type="dxa"/>
            <w:shd w:val="clear" w:color="auto" w:fill="E1F6FF"/>
            <w:vAlign w:val="center"/>
          </w:tcPr>
          <w:p w14:paraId="4019B6D3" w14:textId="77777777" w:rsidR="00644FB2" w:rsidRDefault="00644FB2" w:rsidP="002034B7">
            <w:pPr>
              <w:rPr>
                <w:rFonts w:cs="Tahoma"/>
                <w:bCs/>
                <w:szCs w:val="20"/>
                <w:lang w:eastAsia="en-US"/>
              </w:rPr>
            </w:pPr>
            <w:r>
              <w:rPr>
                <w:rFonts w:cs="Tahoma"/>
                <w:bCs/>
                <w:szCs w:val="20"/>
                <w:lang w:eastAsia="en-US"/>
              </w:rPr>
              <w:t>CM</w:t>
            </w:r>
          </w:p>
        </w:tc>
        <w:tc>
          <w:tcPr>
            <w:tcW w:w="3597" w:type="dxa"/>
            <w:shd w:val="clear" w:color="auto" w:fill="E1F6FF"/>
            <w:vAlign w:val="center"/>
          </w:tcPr>
          <w:p w14:paraId="35879E96" w14:textId="77777777" w:rsidR="00644FB2" w:rsidRDefault="00644FB2" w:rsidP="002034B7">
            <w:pPr>
              <w:rPr>
                <w:rFonts w:cs="Tahoma"/>
                <w:bCs/>
                <w:szCs w:val="20"/>
                <w:lang w:eastAsia="en-US"/>
              </w:rPr>
            </w:pPr>
            <w:r>
              <w:rPr>
                <w:rFonts w:cs="Tahoma"/>
                <w:bCs/>
                <w:szCs w:val="20"/>
                <w:lang w:eastAsia="en-US"/>
              </w:rPr>
              <w:t>WAGA</w:t>
            </w:r>
          </w:p>
        </w:tc>
      </w:tr>
      <w:tr w:rsidR="00644FB2" w:rsidRPr="00232395" w14:paraId="512F098C" w14:textId="77777777" w:rsidTr="003A5D0D">
        <w:trPr>
          <w:trHeight w:val="482"/>
        </w:trPr>
        <w:tc>
          <w:tcPr>
            <w:tcW w:w="3534" w:type="dxa"/>
            <w:shd w:val="clear" w:color="auto" w:fill="auto"/>
            <w:vAlign w:val="center"/>
          </w:tcPr>
          <w:p w14:paraId="3B1B67FF" w14:textId="77777777" w:rsidR="00644FB2" w:rsidRDefault="00644FB2" w:rsidP="002034B7">
            <w:r>
              <w:t>Catherine Litster</w:t>
            </w:r>
          </w:p>
        </w:tc>
        <w:tc>
          <w:tcPr>
            <w:tcW w:w="1516" w:type="dxa"/>
            <w:shd w:val="clear" w:color="auto" w:fill="auto"/>
            <w:vAlign w:val="center"/>
          </w:tcPr>
          <w:p w14:paraId="257171F6" w14:textId="77777777" w:rsidR="00644FB2" w:rsidRDefault="00644FB2" w:rsidP="002034B7">
            <w:pPr>
              <w:rPr>
                <w:rFonts w:cs="Tahoma"/>
                <w:bCs/>
                <w:szCs w:val="20"/>
                <w:lang w:eastAsia="en-US"/>
              </w:rPr>
            </w:pPr>
            <w:r>
              <w:rPr>
                <w:rFonts w:cs="Tahoma"/>
                <w:bCs/>
                <w:szCs w:val="20"/>
                <w:lang w:eastAsia="en-US"/>
              </w:rPr>
              <w:t>CL</w:t>
            </w:r>
          </w:p>
        </w:tc>
        <w:tc>
          <w:tcPr>
            <w:tcW w:w="3597" w:type="dxa"/>
            <w:shd w:val="clear" w:color="auto" w:fill="auto"/>
            <w:vAlign w:val="center"/>
          </w:tcPr>
          <w:p w14:paraId="0C2DB96C" w14:textId="77777777" w:rsidR="00644FB2" w:rsidRDefault="00644FB2" w:rsidP="002034B7">
            <w:pPr>
              <w:rPr>
                <w:rFonts w:cs="Tahoma"/>
                <w:bCs/>
                <w:szCs w:val="20"/>
                <w:lang w:eastAsia="en-US"/>
              </w:rPr>
            </w:pPr>
            <w:r>
              <w:rPr>
                <w:rFonts w:cs="Tahoma"/>
                <w:bCs/>
                <w:szCs w:val="20"/>
                <w:lang w:eastAsia="en-US"/>
              </w:rPr>
              <w:t>WWU</w:t>
            </w:r>
          </w:p>
        </w:tc>
      </w:tr>
    </w:tbl>
    <w:p w14:paraId="6DCA2F2E" w14:textId="6D93BA4B" w:rsidR="00C56B52" w:rsidRPr="004476B5" w:rsidRDefault="00C56B52" w:rsidP="0051285A"/>
    <w:p w14:paraId="1AFCCB4A" w14:textId="4F92AB2C" w:rsidR="00644FB2" w:rsidRDefault="00644FB2" w:rsidP="002034B7">
      <w:pPr>
        <w:pStyle w:val="SUBHEADING"/>
        <w:sectPr w:rsidR="00644FB2" w:rsidSect="00644FB2">
          <w:headerReference w:type="default" r:id="rId11"/>
          <w:footerReference w:type="default" r:id="rId12"/>
          <w:headerReference w:type="first" r:id="rId13"/>
          <w:footerReference w:type="first" r:id="rId14"/>
          <w:pgSz w:w="11900" w:h="16840"/>
          <w:pgMar w:top="1134" w:right="3232" w:bottom="1701" w:left="1021" w:header="709" w:footer="567" w:gutter="0"/>
          <w:cols w:space="708"/>
          <w:titlePg/>
          <w:docGrid w:linePitch="360"/>
        </w:sectPr>
      </w:pPr>
    </w:p>
    <w:p w14:paraId="09123847" w14:textId="46904C7E" w:rsidR="002034B7" w:rsidRPr="002034B7" w:rsidRDefault="00644FB2" w:rsidP="002034B7">
      <w:pPr>
        <w:pStyle w:val="SUBHEADING"/>
      </w:pPr>
      <w:r>
        <w:lastRenderedPageBreak/>
        <w:t>AP</w:t>
      </w:r>
      <w:r w:rsidR="002034B7">
        <w:t>OLOGIES</w:t>
      </w:r>
    </w:p>
    <w:tbl>
      <w:tblPr>
        <w:tblW w:w="8647"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3534"/>
        <w:gridCol w:w="1516"/>
        <w:gridCol w:w="3597"/>
      </w:tblGrid>
      <w:tr w:rsidR="003D171C" w:rsidRPr="00232395" w14:paraId="6B23C90F" w14:textId="77777777" w:rsidTr="0035282C">
        <w:trPr>
          <w:trHeight w:val="482"/>
        </w:trPr>
        <w:tc>
          <w:tcPr>
            <w:tcW w:w="3534" w:type="dxa"/>
            <w:shd w:val="clear" w:color="auto" w:fill="009FE3" w:themeFill="accent4"/>
            <w:vAlign w:val="center"/>
          </w:tcPr>
          <w:p w14:paraId="7BF5DD31" w14:textId="24FC056A" w:rsidR="003D171C" w:rsidRPr="00232395" w:rsidRDefault="002034B7" w:rsidP="0035282C">
            <w:pPr>
              <w:rPr>
                <w:rFonts w:cs="Tahoma"/>
                <w:b/>
                <w:bCs/>
                <w:color w:val="FFFFFF" w:themeColor="background1"/>
                <w:szCs w:val="20"/>
                <w:lang w:eastAsia="en-US"/>
              </w:rPr>
            </w:pPr>
            <w:r>
              <w:rPr>
                <w:rFonts w:cs="Tahoma"/>
                <w:b/>
                <w:bCs/>
                <w:color w:val="FFFFFF" w:themeColor="background1"/>
                <w:szCs w:val="20"/>
                <w:lang w:eastAsia="en-US"/>
              </w:rPr>
              <w:t>Name</w:t>
            </w:r>
          </w:p>
        </w:tc>
        <w:tc>
          <w:tcPr>
            <w:tcW w:w="1516" w:type="dxa"/>
            <w:shd w:val="clear" w:color="auto" w:fill="009FE3" w:themeFill="accent4"/>
            <w:vAlign w:val="center"/>
          </w:tcPr>
          <w:p w14:paraId="22339FF5" w14:textId="77777777" w:rsidR="003D171C" w:rsidRPr="00232395" w:rsidRDefault="003D171C" w:rsidP="0035282C">
            <w:pPr>
              <w:rPr>
                <w:rFonts w:cs="Tahoma"/>
                <w:b/>
                <w:bCs/>
                <w:color w:val="FFFFFF" w:themeColor="background1"/>
                <w:szCs w:val="20"/>
                <w:lang w:eastAsia="en-US"/>
              </w:rPr>
            </w:pPr>
            <w:r>
              <w:rPr>
                <w:rFonts w:cs="Tahoma"/>
                <w:b/>
                <w:bCs/>
                <w:color w:val="FFFFFF" w:themeColor="background1"/>
                <w:szCs w:val="20"/>
                <w:lang w:eastAsia="en-US"/>
              </w:rPr>
              <w:t>Initials</w:t>
            </w:r>
          </w:p>
        </w:tc>
        <w:tc>
          <w:tcPr>
            <w:tcW w:w="3597" w:type="dxa"/>
            <w:shd w:val="clear" w:color="auto" w:fill="009FE3" w:themeFill="accent4"/>
            <w:vAlign w:val="center"/>
          </w:tcPr>
          <w:p w14:paraId="318C36EC" w14:textId="77777777" w:rsidR="003D171C" w:rsidRPr="00232395" w:rsidRDefault="003D171C" w:rsidP="0035282C">
            <w:pPr>
              <w:rPr>
                <w:rFonts w:cs="Tahoma"/>
                <w:b/>
                <w:bCs/>
                <w:color w:val="FFFFFF" w:themeColor="background1"/>
                <w:szCs w:val="20"/>
                <w:lang w:eastAsia="en-US"/>
              </w:rPr>
            </w:pPr>
            <w:r w:rsidRPr="00232395">
              <w:rPr>
                <w:rFonts w:cs="Tahoma"/>
                <w:b/>
                <w:bCs/>
                <w:color w:val="FFFFFF" w:themeColor="background1"/>
                <w:szCs w:val="20"/>
                <w:lang w:eastAsia="en-US"/>
              </w:rPr>
              <w:t>Com</w:t>
            </w:r>
            <w:r>
              <w:rPr>
                <w:rFonts w:cs="Tahoma"/>
                <w:b/>
                <w:bCs/>
                <w:color w:val="FFFFFF" w:themeColor="background1"/>
                <w:szCs w:val="20"/>
                <w:lang w:eastAsia="en-US"/>
              </w:rPr>
              <w:t>pany</w:t>
            </w:r>
          </w:p>
        </w:tc>
      </w:tr>
      <w:tr w:rsidR="003D171C" w:rsidRPr="00232395" w14:paraId="62BDBBFA" w14:textId="77777777" w:rsidTr="0035282C">
        <w:trPr>
          <w:trHeight w:val="482"/>
        </w:trPr>
        <w:tc>
          <w:tcPr>
            <w:tcW w:w="3534" w:type="dxa"/>
            <w:shd w:val="clear" w:color="auto" w:fill="E1F6FF"/>
            <w:vAlign w:val="center"/>
          </w:tcPr>
          <w:p w14:paraId="56E52FAC" w14:textId="66375479" w:rsidR="003D171C" w:rsidRPr="00232395" w:rsidRDefault="00A70903" w:rsidP="002034B7">
            <w:pPr>
              <w:rPr>
                <w:rFonts w:cs="Tahoma"/>
                <w:bCs/>
                <w:szCs w:val="20"/>
                <w:lang w:eastAsia="en-US"/>
              </w:rPr>
            </w:pPr>
            <w:r>
              <w:rPr>
                <w:rFonts w:cs="Tahoma"/>
                <w:bCs/>
                <w:szCs w:val="20"/>
                <w:lang w:eastAsia="en-US"/>
              </w:rPr>
              <w:t>Jadie Lawley</w:t>
            </w:r>
          </w:p>
        </w:tc>
        <w:tc>
          <w:tcPr>
            <w:tcW w:w="1516" w:type="dxa"/>
            <w:shd w:val="clear" w:color="auto" w:fill="E1F6FF"/>
            <w:vAlign w:val="center"/>
          </w:tcPr>
          <w:p w14:paraId="3162B0A1" w14:textId="26FC9999" w:rsidR="003D171C" w:rsidRPr="00232395" w:rsidRDefault="00A70903" w:rsidP="002034B7">
            <w:pPr>
              <w:rPr>
                <w:rFonts w:cs="Tahoma"/>
                <w:bCs/>
                <w:szCs w:val="20"/>
                <w:lang w:eastAsia="en-US"/>
              </w:rPr>
            </w:pPr>
            <w:r>
              <w:rPr>
                <w:rFonts w:cs="Tahoma"/>
                <w:bCs/>
                <w:szCs w:val="20"/>
                <w:lang w:eastAsia="en-US"/>
              </w:rPr>
              <w:t>JL</w:t>
            </w:r>
          </w:p>
        </w:tc>
        <w:tc>
          <w:tcPr>
            <w:tcW w:w="3597" w:type="dxa"/>
            <w:shd w:val="clear" w:color="auto" w:fill="E1F6FF"/>
            <w:vAlign w:val="center"/>
          </w:tcPr>
          <w:p w14:paraId="321ECD7B" w14:textId="5DDE674E" w:rsidR="003D171C" w:rsidRPr="00232395" w:rsidRDefault="00A70903" w:rsidP="002034B7">
            <w:pPr>
              <w:rPr>
                <w:rFonts w:cs="Tahoma"/>
                <w:bCs/>
                <w:szCs w:val="20"/>
                <w:lang w:eastAsia="en-US"/>
              </w:rPr>
            </w:pPr>
            <w:r>
              <w:rPr>
                <w:rFonts w:cs="Tahoma"/>
                <w:bCs/>
                <w:szCs w:val="20"/>
                <w:lang w:eastAsia="en-US"/>
              </w:rPr>
              <w:t>Cadent</w:t>
            </w:r>
          </w:p>
        </w:tc>
      </w:tr>
      <w:tr w:rsidR="003D171C" w:rsidRPr="00232395" w14:paraId="2F5DF5CB" w14:textId="77777777" w:rsidTr="0035282C">
        <w:trPr>
          <w:trHeight w:val="482"/>
        </w:trPr>
        <w:tc>
          <w:tcPr>
            <w:tcW w:w="3534" w:type="dxa"/>
            <w:shd w:val="clear" w:color="auto" w:fill="auto"/>
            <w:vAlign w:val="center"/>
          </w:tcPr>
          <w:p w14:paraId="23E14CEC" w14:textId="3A202119" w:rsidR="003D171C" w:rsidRDefault="00A70903" w:rsidP="002034B7">
            <w:r>
              <w:t>Nick Primmer</w:t>
            </w:r>
          </w:p>
        </w:tc>
        <w:tc>
          <w:tcPr>
            <w:tcW w:w="1516" w:type="dxa"/>
            <w:shd w:val="clear" w:color="auto" w:fill="auto"/>
            <w:vAlign w:val="center"/>
          </w:tcPr>
          <w:p w14:paraId="1550D12E" w14:textId="02AB1E0E" w:rsidR="003D171C" w:rsidRDefault="00A70903" w:rsidP="002034B7">
            <w:pPr>
              <w:rPr>
                <w:rFonts w:cs="Tahoma"/>
                <w:bCs/>
                <w:szCs w:val="20"/>
                <w:lang w:eastAsia="en-US"/>
              </w:rPr>
            </w:pPr>
            <w:r>
              <w:rPr>
                <w:rFonts w:cs="Tahoma"/>
                <w:bCs/>
                <w:szCs w:val="20"/>
                <w:lang w:eastAsia="en-US"/>
              </w:rPr>
              <w:t>NP</w:t>
            </w:r>
          </w:p>
        </w:tc>
        <w:tc>
          <w:tcPr>
            <w:tcW w:w="3597" w:type="dxa"/>
            <w:shd w:val="clear" w:color="auto" w:fill="auto"/>
            <w:vAlign w:val="center"/>
          </w:tcPr>
          <w:p w14:paraId="58758436" w14:textId="46DCB218" w:rsidR="003D171C" w:rsidRDefault="00823315" w:rsidP="002034B7">
            <w:pPr>
              <w:rPr>
                <w:rFonts w:cs="Tahoma"/>
                <w:bCs/>
                <w:szCs w:val="20"/>
                <w:lang w:eastAsia="en-US"/>
              </w:rPr>
            </w:pPr>
            <w:r>
              <w:rPr>
                <w:rFonts w:cs="Tahoma"/>
                <w:bCs/>
                <w:szCs w:val="20"/>
                <w:lang w:eastAsia="en-US"/>
              </w:rPr>
              <w:t>Future Biogas</w:t>
            </w:r>
          </w:p>
        </w:tc>
      </w:tr>
      <w:tr w:rsidR="003D171C" w:rsidRPr="00232395" w14:paraId="19661CA9" w14:textId="77777777" w:rsidTr="0035282C">
        <w:trPr>
          <w:trHeight w:val="482"/>
        </w:trPr>
        <w:tc>
          <w:tcPr>
            <w:tcW w:w="3534" w:type="dxa"/>
            <w:shd w:val="clear" w:color="auto" w:fill="E1F6FF"/>
            <w:vAlign w:val="center"/>
          </w:tcPr>
          <w:p w14:paraId="42AB2EFC" w14:textId="598FAD0F" w:rsidR="003D171C" w:rsidRDefault="00A70903" w:rsidP="002034B7">
            <w:r>
              <w:t>Matt Rosenfeld</w:t>
            </w:r>
          </w:p>
        </w:tc>
        <w:tc>
          <w:tcPr>
            <w:tcW w:w="1516" w:type="dxa"/>
            <w:shd w:val="clear" w:color="auto" w:fill="E1F6FF"/>
            <w:vAlign w:val="center"/>
          </w:tcPr>
          <w:p w14:paraId="3C3642E7" w14:textId="70315CA8" w:rsidR="003D171C" w:rsidRDefault="00A70903" w:rsidP="002034B7">
            <w:pPr>
              <w:rPr>
                <w:rFonts w:cs="Tahoma"/>
                <w:bCs/>
                <w:szCs w:val="20"/>
                <w:lang w:eastAsia="en-US"/>
              </w:rPr>
            </w:pPr>
            <w:r>
              <w:rPr>
                <w:rFonts w:cs="Tahoma"/>
                <w:bCs/>
                <w:szCs w:val="20"/>
                <w:lang w:eastAsia="en-US"/>
              </w:rPr>
              <w:t>MR</w:t>
            </w:r>
          </w:p>
        </w:tc>
        <w:tc>
          <w:tcPr>
            <w:tcW w:w="3597" w:type="dxa"/>
            <w:shd w:val="clear" w:color="auto" w:fill="E1F6FF"/>
            <w:vAlign w:val="center"/>
          </w:tcPr>
          <w:p w14:paraId="08B16B18" w14:textId="21270D5A" w:rsidR="003D171C" w:rsidRDefault="00823315" w:rsidP="002034B7">
            <w:pPr>
              <w:rPr>
                <w:rFonts w:cs="Tahoma"/>
                <w:bCs/>
                <w:szCs w:val="20"/>
                <w:lang w:eastAsia="en-US"/>
              </w:rPr>
            </w:pPr>
            <w:r>
              <w:rPr>
                <w:rFonts w:cs="Tahoma"/>
                <w:bCs/>
                <w:szCs w:val="20"/>
                <w:lang w:eastAsia="en-US"/>
              </w:rPr>
              <w:t>ENA</w:t>
            </w:r>
          </w:p>
        </w:tc>
      </w:tr>
    </w:tbl>
    <w:p w14:paraId="7F18A747" w14:textId="77777777" w:rsidR="00547294" w:rsidRDefault="00547294" w:rsidP="00547294">
      <w:pPr>
        <w:pStyle w:val="Subheader2"/>
      </w:pPr>
    </w:p>
    <w:p w14:paraId="2DB52751" w14:textId="7D76BAC1" w:rsidR="00547294" w:rsidRPr="003D171C" w:rsidRDefault="00644FB2" w:rsidP="00823315">
      <w:pPr>
        <w:pStyle w:val="SUBHEADING"/>
      </w:pPr>
      <w:r>
        <w:fldChar w:fldCharType="begin"/>
      </w:r>
      <w:r>
        <w:instrText xml:space="preserve"> REF TitleOfCommittee </w:instrText>
      </w:r>
      <w:r w:rsidR="00823315">
        <w:instrText xml:space="preserve"> \* MERGEFORMAT </w:instrText>
      </w:r>
      <w:r>
        <w:fldChar w:fldCharType="separate"/>
      </w:r>
      <w:r>
        <w:fldChar w:fldCharType="end"/>
      </w:r>
      <w:r w:rsidR="00F4406B">
        <w:t>MEETING NOTES AND ACTIONS</w:t>
      </w: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2034B7" w:rsidRPr="00232395" w14:paraId="50D1F447" w14:textId="77777777" w:rsidTr="00D34903">
        <w:trPr>
          <w:trHeight w:val="482"/>
        </w:trPr>
        <w:tc>
          <w:tcPr>
            <w:tcW w:w="8077" w:type="dxa"/>
            <w:shd w:val="clear" w:color="auto" w:fill="009FE3" w:themeFill="accent4"/>
            <w:vAlign w:val="center"/>
          </w:tcPr>
          <w:p w14:paraId="00558ECE" w14:textId="71E5BF40" w:rsidR="002034B7" w:rsidRPr="003A5D0D" w:rsidRDefault="003A5D0D" w:rsidP="003A5D0D">
            <w:pPr>
              <w:rPr>
                <w:rFonts w:cs="Tahoma"/>
                <w:b/>
                <w:bCs/>
                <w:color w:val="FFFFFF" w:themeColor="background1"/>
                <w:szCs w:val="20"/>
                <w:lang w:eastAsia="en-US"/>
              </w:rPr>
            </w:pPr>
            <w:r w:rsidRPr="003A5D0D">
              <w:rPr>
                <w:rFonts w:cs="Tahoma"/>
                <w:b/>
                <w:bCs/>
                <w:color w:val="FFFFFF" w:themeColor="background1"/>
                <w:szCs w:val="20"/>
                <w:lang w:eastAsia="en-US"/>
              </w:rPr>
              <w:t>2.</w:t>
            </w:r>
            <w:r>
              <w:rPr>
                <w:rFonts w:cs="Tahoma"/>
                <w:b/>
                <w:bCs/>
                <w:color w:val="FFFFFF" w:themeColor="background1"/>
                <w:szCs w:val="20"/>
                <w:lang w:eastAsia="en-US"/>
              </w:rPr>
              <w:t xml:space="preserve"> </w:t>
            </w:r>
            <w:r w:rsidR="002D611D">
              <w:rPr>
                <w:rFonts w:cs="Tahoma"/>
                <w:b/>
                <w:bCs/>
                <w:color w:val="FFFFFF" w:themeColor="background1"/>
                <w:szCs w:val="20"/>
                <w:lang w:eastAsia="en-US"/>
              </w:rPr>
              <w:t>H100 Update</w:t>
            </w:r>
          </w:p>
        </w:tc>
        <w:tc>
          <w:tcPr>
            <w:tcW w:w="1701" w:type="dxa"/>
            <w:shd w:val="clear" w:color="auto" w:fill="009FE3" w:themeFill="accent4"/>
            <w:vAlign w:val="center"/>
          </w:tcPr>
          <w:p w14:paraId="6D5429BC" w14:textId="5509D52A" w:rsidR="002034B7" w:rsidRPr="00232395" w:rsidRDefault="002D611D" w:rsidP="0035282C">
            <w:pPr>
              <w:jc w:val="center"/>
              <w:rPr>
                <w:rFonts w:cs="Tahoma"/>
                <w:b/>
                <w:bCs/>
                <w:color w:val="FFFFFF" w:themeColor="background1"/>
                <w:szCs w:val="20"/>
                <w:lang w:eastAsia="en-US"/>
              </w:rPr>
            </w:pPr>
            <w:r>
              <w:rPr>
                <w:rFonts w:cs="Tahoma"/>
                <w:b/>
                <w:bCs/>
                <w:color w:val="FFFFFF" w:themeColor="background1"/>
                <w:szCs w:val="20"/>
                <w:lang w:eastAsia="en-US"/>
              </w:rPr>
              <w:t>LA</w:t>
            </w:r>
          </w:p>
        </w:tc>
      </w:tr>
      <w:tr w:rsidR="002034B7" w:rsidRPr="00232395" w14:paraId="745F757F" w14:textId="77777777" w:rsidTr="00D34903">
        <w:trPr>
          <w:trHeight w:val="482"/>
        </w:trPr>
        <w:tc>
          <w:tcPr>
            <w:tcW w:w="9778" w:type="dxa"/>
            <w:gridSpan w:val="2"/>
            <w:shd w:val="clear" w:color="auto" w:fill="E1F6FF"/>
            <w:vAlign w:val="center"/>
          </w:tcPr>
          <w:p w14:paraId="51259FDE" w14:textId="6A6EED91" w:rsidR="002034B7" w:rsidRDefault="004B61AE" w:rsidP="0035282C">
            <w:pPr>
              <w:rPr>
                <w:rFonts w:cs="Tahoma"/>
                <w:bCs/>
                <w:szCs w:val="20"/>
                <w:lang w:eastAsia="en-US"/>
              </w:rPr>
            </w:pPr>
            <w:hyperlink r:id="rId15" w:history="1">
              <w:r w:rsidRPr="004B61AE">
                <w:rPr>
                  <w:rStyle w:val="Hyperlink"/>
                  <w:rFonts w:cs="Tahoma"/>
                  <w:bCs/>
                  <w:szCs w:val="20"/>
                  <w:lang w:eastAsia="en-US"/>
                </w:rPr>
                <w:t>Slide deck available on SharePoint</w:t>
              </w:r>
            </w:hyperlink>
            <w:r>
              <w:rPr>
                <w:rFonts w:cs="Tahoma"/>
                <w:bCs/>
                <w:szCs w:val="20"/>
                <w:lang w:eastAsia="en-US"/>
              </w:rPr>
              <w:t xml:space="preserve"> and circulated alongside the minutes.</w:t>
            </w:r>
          </w:p>
          <w:p w14:paraId="73FE3A8B" w14:textId="77777777" w:rsidR="00F81DCA" w:rsidRPr="00B37E6D" w:rsidRDefault="00744684" w:rsidP="0035282C">
            <w:pPr>
              <w:rPr>
                <w:rFonts w:cs="Tahoma"/>
                <w:b/>
                <w:szCs w:val="20"/>
                <w:lang w:eastAsia="en-US"/>
              </w:rPr>
            </w:pPr>
            <w:r w:rsidRPr="00B37E6D">
              <w:rPr>
                <w:rFonts w:cs="Tahoma"/>
                <w:b/>
                <w:szCs w:val="20"/>
                <w:lang w:eastAsia="en-US"/>
              </w:rPr>
              <w:t>Overview:</w:t>
            </w:r>
          </w:p>
          <w:p w14:paraId="6E003108" w14:textId="4CC4F2DC" w:rsidR="00D47588" w:rsidRPr="00807BB8" w:rsidRDefault="00997A47" w:rsidP="00807BB8">
            <w:pPr>
              <w:pStyle w:val="ListParagraph"/>
              <w:numPr>
                <w:ilvl w:val="0"/>
                <w:numId w:val="12"/>
              </w:numPr>
              <w:rPr>
                <w:rFonts w:cs="Tahoma"/>
                <w:bCs/>
                <w:szCs w:val="20"/>
                <w:lang w:eastAsia="en-US"/>
              </w:rPr>
            </w:pPr>
            <w:r>
              <w:rPr>
                <w:rFonts w:cs="Tahoma"/>
                <w:bCs/>
                <w:szCs w:val="20"/>
                <w:lang w:eastAsia="en-US"/>
              </w:rPr>
              <w:t xml:space="preserve">The trial at </w:t>
            </w:r>
            <w:r w:rsidR="00744684">
              <w:rPr>
                <w:rFonts w:cs="Tahoma"/>
                <w:bCs/>
                <w:szCs w:val="20"/>
                <w:lang w:eastAsia="en-US"/>
              </w:rPr>
              <w:t>H100 Fife is an end</w:t>
            </w:r>
            <w:r>
              <w:rPr>
                <w:rFonts w:cs="Tahoma"/>
                <w:bCs/>
                <w:szCs w:val="20"/>
                <w:lang w:eastAsia="en-US"/>
              </w:rPr>
              <w:t>-</w:t>
            </w:r>
            <w:r w:rsidR="00744684">
              <w:rPr>
                <w:rFonts w:cs="Tahoma"/>
                <w:bCs/>
                <w:szCs w:val="20"/>
                <w:lang w:eastAsia="en-US"/>
              </w:rPr>
              <w:t>to</w:t>
            </w:r>
            <w:r>
              <w:rPr>
                <w:rFonts w:cs="Tahoma"/>
                <w:bCs/>
                <w:szCs w:val="20"/>
                <w:lang w:eastAsia="en-US"/>
              </w:rPr>
              <w:t>-</w:t>
            </w:r>
            <w:r w:rsidR="00744684">
              <w:rPr>
                <w:rFonts w:cs="Tahoma"/>
                <w:bCs/>
                <w:szCs w:val="20"/>
                <w:lang w:eastAsia="en-US"/>
              </w:rPr>
              <w:t xml:space="preserve">end system, </w:t>
            </w:r>
            <w:r>
              <w:rPr>
                <w:rFonts w:cs="Tahoma"/>
                <w:bCs/>
                <w:szCs w:val="20"/>
                <w:lang w:eastAsia="en-US"/>
              </w:rPr>
              <w:t xml:space="preserve">covering </w:t>
            </w:r>
            <w:r w:rsidR="00744684">
              <w:rPr>
                <w:rFonts w:cs="Tahoma"/>
                <w:bCs/>
                <w:szCs w:val="20"/>
                <w:lang w:eastAsia="en-US"/>
              </w:rPr>
              <w:t>renewable energy for hydrogen produ</w:t>
            </w:r>
            <w:r w:rsidR="00D47588">
              <w:rPr>
                <w:rFonts w:cs="Tahoma"/>
                <w:bCs/>
                <w:szCs w:val="20"/>
                <w:lang w:eastAsia="en-US"/>
              </w:rPr>
              <w:t>ction by electrolysis, storage of hydrogen for supply security, on-site demonstration, transport of 100% to 300 homes in Le</w:t>
            </w:r>
            <w:r>
              <w:rPr>
                <w:rFonts w:cs="Tahoma"/>
                <w:bCs/>
                <w:szCs w:val="20"/>
                <w:lang w:eastAsia="en-US"/>
              </w:rPr>
              <w:t>v</w:t>
            </w:r>
            <w:r w:rsidR="00D47588">
              <w:rPr>
                <w:rFonts w:cs="Tahoma"/>
                <w:bCs/>
                <w:szCs w:val="20"/>
                <w:lang w:eastAsia="en-US"/>
              </w:rPr>
              <w:t xml:space="preserve">enmouth, </w:t>
            </w:r>
            <w:r>
              <w:rPr>
                <w:rFonts w:cs="Tahoma"/>
                <w:bCs/>
                <w:szCs w:val="20"/>
                <w:lang w:eastAsia="en-US"/>
              </w:rPr>
              <w:t xml:space="preserve">and </w:t>
            </w:r>
            <w:r w:rsidR="00D47588">
              <w:rPr>
                <w:rFonts w:cs="Tahoma"/>
                <w:bCs/>
                <w:szCs w:val="20"/>
                <w:lang w:eastAsia="en-US"/>
              </w:rPr>
              <w:t>the appliances going into th</w:t>
            </w:r>
            <w:r>
              <w:rPr>
                <w:rFonts w:cs="Tahoma"/>
                <w:bCs/>
                <w:szCs w:val="20"/>
                <w:lang w:eastAsia="en-US"/>
              </w:rPr>
              <w:t>ose</w:t>
            </w:r>
            <w:r w:rsidR="00D47588">
              <w:rPr>
                <w:rFonts w:cs="Tahoma"/>
                <w:bCs/>
                <w:szCs w:val="20"/>
                <w:lang w:eastAsia="en-US"/>
              </w:rPr>
              <w:t xml:space="preserve"> homes.</w:t>
            </w:r>
            <w:r w:rsidR="00807BB8">
              <w:rPr>
                <w:rFonts w:cs="Tahoma"/>
                <w:bCs/>
                <w:szCs w:val="20"/>
                <w:lang w:eastAsia="en-US"/>
              </w:rPr>
              <w:t xml:space="preserve"> </w:t>
            </w:r>
            <w:r w:rsidR="00D47588" w:rsidRPr="00807BB8">
              <w:rPr>
                <w:rFonts w:cs="Tahoma"/>
                <w:bCs/>
                <w:szCs w:val="20"/>
                <w:lang w:eastAsia="en-US"/>
              </w:rPr>
              <w:t>Metering</w:t>
            </w:r>
            <w:r w:rsidR="00807BB8">
              <w:rPr>
                <w:rFonts w:cs="Tahoma"/>
                <w:bCs/>
                <w:szCs w:val="20"/>
                <w:lang w:eastAsia="en-US"/>
              </w:rPr>
              <w:t>,</w:t>
            </w:r>
            <w:r w:rsidR="00D47588" w:rsidRPr="00807BB8">
              <w:rPr>
                <w:rFonts w:cs="Tahoma"/>
                <w:bCs/>
                <w:szCs w:val="20"/>
                <w:lang w:eastAsia="en-US"/>
              </w:rPr>
              <w:t xml:space="preserve"> billing and data flows </w:t>
            </w:r>
            <w:r w:rsidR="00807BB8">
              <w:rPr>
                <w:rFonts w:cs="Tahoma"/>
                <w:bCs/>
                <w:szCs w:val="20"/>
                <w:lang w:eastAsia="en-US"/>
              </w:rPr>
              <w:t xml:space="preserve">are the </w:t>
            </w:r>
            <w:r w:rsidR="00D47588" w:rsidRPr="00807BB8">
              <w:rPr>
                <w:rFonts w:cs="Tahoma"/>
                <w:bCs/>
                <w:szCs w:val="20"/>
                <w:lang w:eastAsia="en-US"/>
              </w:rPr>
              <w:t xml:space="preserve">key points </w:t>
            </w:r>
            <w:r w:rsidR="00807BB8">
              <w:rPr>
                <w:rFonts w:cs="Tahoma"/>
                <w:bCs/>
                <w:szCs w:val="20"/>
                <w:lang w:eastAsia="en-US"/>
              </w:rPr>
              <w:t xml:space="preserve">SGN are </w:t>
            </w:r>
            <w:r w:rsidR="00D47588" w:rsidRPr="00807BB8">
              <w:rPr>
                <w:rFonts w:cs="Tahoma"/>
                <w:bCs/>
                <w:szCs w:val="20"/>
                <w:lang w:eastAsia="en-US"/>
              </w:rPr>
              <w:t>seeking stakeholder/industry engagement</w:t>
            </w:r>
            <w:r w:rsidR="00807BB8">
              <w:rPr>
                <w:rFonts w:cs="Tahoma"/>
                <w:bCs/>
                <w:szCs w:val="20"/>
                <w:lang w:eastAsia="en-US"/>
              </w:rPr>
              <w:t xml:space="preserve"> on </w:t>
            </w:r>
            <w:proofErr w:type="gramStart"/>
            <w:r w:rsidR="00807BB8">
              <w:rPr>
                <w:rFonts w:cs="Tahoma"/>
                <w:bCs/>
                <w:szCs w:val="20"/>
                <w:lang w:eastAsia="en-US"/>
              </w:rPr>
              <w:t>at the moment</w:t>
            </w:r>
            <w:proofErr w:type="gramEnd"/>
            <w:r w:rsidR="00807BB8">
              <w:rPr>
                <w:rFonts w:cs="Tahoma"/>
                <w:bCs/>
                <w:szCs w:val="20"/>
                <w:lang w:eastAsia="en-US"/>
              </w:rPr>
              <w:t>.</w:t>
            </w:r>
          </w:p>
          <w:p w14:paraId="012C614A" w14:textId="21BF42CB" w:rsidR="00170E96" w:rsidRDefault="00807BB8" w:rsidP="00B37E6D">
            <w:pPr>
              <w:pStyle w:val="ListParagraph"/>
              <w:numPr>
                <w:ilvl w:val="0"/>
                <w:numId w:val="12"/>
              </w:numPr>
              <w:rPr>
                <w:rFonts w:cs="Tahoma"/>
                <w:bCs/>
                <w:szCs w:val="20"/>
                <w:lang w:eastAsia="en-US"/>
              </w:rPr>
            </w:pPr>
            <w:r>
              <w:rPr>
                <w:rFonts w:cs="Tahoma"/>
                <w:bCs/>
                <w:szCs w:val="20"/>
                <w:lang w:eastAsia="en-US"/>
              </w:rPr>
              <w:t>The f</w:t>
            </w:r>
            <w:r w:rsidR="002D5989">
              <w:rPr>
                <w:rFonts w:cs="Tahoma"/>
                <w:bCs/>
                <w:szCs w:val="20"/>
                <w:lang w:eastAsia="en-US"/>
              </w:rPr>
              <w:t>irst</w:t>
            </w:r>
            <w:r w:rsidR="00BC6BCC">
              <w:rPr>
                <w:rFonts w:cs="Tahoma"/>
                <w:bCs/>
                <w:szCs w:val="20"/>
                <w:lang w:eastAsia="en-US"/>
              </w:rPr>
              <w:t xml:space="preserve"> customers </w:t>
            </w:r>
            <w:r w:rsidR="002D5989">
              <w:rPr>
                <w:rFonts w:cs="Tahoma"/>
                <w:bCs/>
                <w:szCs w:val="20"/>
                <w:lang w:eastAsia="en-US"/>
              </w:rPr>
              <w:t xml:space="preserve">expected to be </w:t>
            </w:r>
            <w:r w:rsidR="00BC6BCC">
              <w:rPr>
                <w:rFonts w:cs="Tahoma"/>
                <w:bCs/>
                <w:szCs w:val="20"/>
                <w:lang w:eastAsia="en-US"/>
              </w:rPr>
              <w:t>on gas</w:t>
            </w:r>
            <w:r w:rsidR="002D5989">
              <w:rPr>
                <w:rFonts w:cs="Tahoma"/>
                <w:bCs/>
                <w:szCs w:val="20"/>
                <w:lang w:eastAsia="en-US"/>
              </w:rPr>
              <w:t xml:space="preserve"> at the end of 2024; </w:t>
            </w:r>
            <w:r>
              <w:rPr>
                <w:rFonts w:cs="Tahoma"/>
                <w:bCs/>
                <w:szCs w:val="20"/>
                <w:lang w:eastAsia="en-US"/>
              </w:rPr>
              <w:t xml:space="preserve">we </w:t>
            </w:r>
            <w:r w:rsidR="002D5989">
              <w:rPr>
                <w:rFonts w:cs="Tahoma"/>
                <w:bCs/>
                <w:szCs w:val="20"/>
                <w:lang w:eastAsia="en-US"/>
              </w:rPr>
              <w:t>have until then to ensure regulatory side is set up.</w:t>
            </w:r>
            <w:r w:rsidR="00B37E6D">
              <w:rPr>
                <w:rFonts w:cs="Tahoma"/>
                <w:bCs/>
                <w:szCs w:val="20"/>
                <w:lang w:eastAsia="en-US"/>
              </w:rPr>
              <w:t xml:space="preserve"> </w:t>
            </w:r>
            <w:r w:rsidRPr="00B37E6D">
              <w:rPr>
                <w:rFonts w:cs="Tahoma"/>
                <w:bCs/>
                <w:szCs w:val="20"/>
                <w:lang w:eastAsia="en-US"/>
              </w:rPr>
              <w:t>Among other communications, a h</w:t>
            </w:r>
            <w:r w:rsidR="00170E96" w:rsidRPr="00B37E6D">
              <w:rPr>
                <w:rFonts w:cs="Tahoma"/>
                <w:bCs/>
                <w:szCs w:val="20"/>
                <w:lang w:eastAsia="en-US"/>
              </w:rPr>
              <w:t xml:space="preserve">uge amount of customer literature </w:t>
            </w:r>
            <w:r w:rsidRPr="00B37E6D">
              <w:rPr>
                <w:rFonts w:cs="Tahoma"/>
                <w:bCs/>
                <w:szCs w:val="20"/>
                <w:lang w:eastAsia="en-US"/>
              </w:rPr>
              <w:t xml:space="preserve">has been </w:t>
            </w:r>
            <w:r w:rsidR="00170E96" w:rsidRPr="00B37E6D">
              <w:rPr>
                <w:rFonts w:cs="Tahoma"/>
                <w:bCs/>
                <w:szCs w:val="20"/>
                <w:lang w:eastAsia="en-US"/>
              </w:rPr>
              <w:t>prepared</w:t>
            </w:r>
            <w:r w:rsidRPr="00B37E6D">
              <w:rPr>
                <w:rFonts w:cs="Tahoma"/>
                <w:bCs/>
                <w:szCs w:val="20"/>
                <w:lang w:eastAsia="en-US"/>
              </w:rPr>
              <w:t xml:space="preserve">, </w:t>
            </w:r>
            <w:r w:rsidR="00170E96" w:rsidRPr="00B37E6D">
              <w:rPr>
                <w:rFonts w:cs="Tahoma"/>
                <w:bCs/>
                <w:szCs w:val="20"/>
                <w:lang w:eastAsia="en-US"/>
              </w:rPr>
              <w:t>to inform customers before opt-in (</w:t>
            </w:r>
            <w:r w:rsidRPr="00B37E6D">
              <w:rPr>
                <w:rFonts w:cs="Tahoma"/>
                <w:bCs/>
                <w:szCs w:val="20"/>
                <w:lang w:eastAsia="en-US"/>
              </w:rPr>
              <w:t xml:space="preserve">H100 follows a </w:t>
            </w:r>
            <w:r w:rsidR="00170E96" w:rsidRPr="00B37E6D">
              <w:rPr>
                <w:rFonts w:cs="Tahoma"/>
                <w:bCs/>
                <w:szCs w:val="20"/>
                <w:lang w:eastAsia="en-US"/>
              </w:rPr>
              <w:t>pro-customer</w:t>
            </w:r>
            <w:r w:rsidRPr="00B37E6D">
              <w:rPr>
                <w:rFonts w:cs="Tahoma"/>
                <w:bCs/>
                <w:szCs w:val="20"/>
                <w:lang w:eastAsia="en-US"/>
              </w:rPr>
              <w:t xml:space="preserve"> </w:t>
            </w:r>
            <w:r w:rsidR="00170E96" w:rsidRPr="00B37E6D">
              <w:rPr>
                <w:rFonts w:cs="Tahoma"/>
                <w:bCs/>
                <w:szCs w:val="20"/>
                <w:lang w:eastAsia="en-US"/>
              </w:rPr>
              <w:t xml:space="preserve">choice model, </w:t>
            </w:r>
            <w:r w:rsidRPr="00B37E6D">
              <w:rPr>
                <w:rFonts w:cs="Tahoma"/>
                <w:bCs/>
                <w:szCs w:val="20"/>
                <w:lang w:eastAsia="en-US"/>
              </w:rPr>
              <w:t xml:space="preserve">i.e., </w:t>
            </w:r>
            <w:r w:rsidR="00170E96" w:rsidRPr="00B37E6D">
              <w:rPr>
                <w:rFonts w:cs="Tahoma"/>
                <w:bCs/>
                <w:szCs w:val="20"/>
                <w:lang w:eastAsia="en-US"/>
              </w:rPr>
              <w:t>change</w:t>
            </w:r>
            <w:r w:rsidRPr="00B37E6D">
              <w:rPr>
                <w:rFonts w:cs="Tahoma"/>
                <w:bCs/>
                <w:szCs w:val="20"/>
                <w:lang w:eastAsia="en-US"/>
              </w:rPr>
              <w:t xml:space="preserve"> is</w:t>
            </w:r>
            <w:r w:rsidR="00170E96" w:rsidRPr="00B37E6D">
              <w:rPr>
                <w:rFonts w:cs="Tahoma"/>
                <w:bCs/>
                <w:szCs w:val="20"/>
                <w:lang w:eastAsia="en-US"/>
              </w:rPr>
              <w:t xml:space="preserve"> </w:t>
            </w:r>
            <w:r w:rsidR="00170E96" w:rsidRPr="00B37E6D">
              <w:rPr>
                <w:rFonts w:cs="Tahoma"/>
                <w:bCs/>
                <w:i/>
                <w:iCs/>
                <w:szCs w:val="20"/>
                <w:lang w:eastAsia="en-US"/>
              </w:rPr>
              <w:t>not</w:t>
            </w:r>
            <w:r w:rsidR="00170E96" w:rsidRPr="00B37E6D">
              <w:rPr>
                <w:rFonts w:cs="Tahoma"/>
                <w:bCs/>
                <w:szCs w:val="20"/>
                <w:lang w:eastAsia="en-US"/>
              </w:rPr>
              <w:t xml:space="preserve"> mandated).</w:t>
            </w:r>
            <w:r w:rsidR="00B5510B" w:rsidRPr="00B37E6D">
              <w:rPr>
                <w:rFonts w:cs="Tahoma"/>
                <w:bCs/>
                <w:szCs w:val="20"/>
                <w:lang w:eastAsia="en-US"/>
              </w:rPr>
              <w:t xml:space="preserve"> Real positive response from the community (389 customers registered, 348 live, with 45 additional registrations outside network area). Engagement ahead of the trial was </w:t>
            </w:r>
            <w:r w:rsidR="00E33124" w:rsidRPr="00B37E6D">
              <w:rPr>
                <w:rFonts w:cs="Tahoma"/>
                <w:bCs/>
                <w:szCs w:val="20"/>
                <w:lang w:eastAsia="en-US"/>
              </w:rPr>
              <w:t xml:space="preserve">hugely </w:t>
            </w:r>
            <w:r w:rsidR="00B5510B" w:rsidRPr="00B37E6D">
              <w:rPr>
                <w:rFonts w:cs="Tahoma"/>
                <w:bCs/>
                <w:szCs w:val="20"/>
                <w:lang w:eastAsia="en-US"/>
              </w:rPr>
              <w:t>valuable.</w:t>
            </w:r>
          </w:p>
          <w:p w14:paraId="5201E895" w14:textId="2D864F1D" w:rsidR="00B37E6D" w:rsidRPr="00B37E6D" w:rsidRDefault="00B37E6D" w:rsidP="00B37E6D">
            <w:pPr>
              <w:rPr>
                <w:rFonts w:cs="Tahoma"/>
                <w:b/>
                <w:szCs w:val="20"/>
                <w:lang w:eastAsia="en-US"/>
              </w:rPr>
            </w:pPr>
            <w:r w:rsidRPr="00B37E6D">
              <w:rPr>
                <w:rFonts w:cs="Tahoma"/>
                <w:b/>
                <w:szCs w:val="20"/>
                <w:lang w:eastAsia="en-US"/>
              </w:rPr>
              <w:t>Regulation:</w:t>
            </w:r>
          </w:p>
          <w:p w14:paraId="50F63F60" w14:textId="77777777" w:rsidR="001A1521" w:rsidRDefault="00E33124" w:rsidP="001A1521">
            <w:pPr>
              <w:pStyle w:val="ListParagraph"/>
              <w:numPr>
                <w:ilvl w:val="0"/>
                <w:numId w:val="12"/>
              </w:numPr>
              <w:rPr>
                <w:rFonts w:cs="Tahoma"/>
                <w:bCs/>
                <w:szCs w:val="20"/>
                <w:lang w:eastAsia="en-US"/>
              </w:rPr>
            </w:pPr>
            <w:r>
              <w:rPr>
                <w:rFonts w:cs="Tahoma"/>
                <w:bCs/>
                <w:szCs w:val="20"/>
                <w:lang w:eastAsia="en-US"/>
              </w:rPr>
              <w:t xml:space="preserve">UNC Mod 799 went through to </w:t>
            </w:r>
            <w:proofErr w:type="gramStart"/>
            <w:r>
              <w:rPr>
                <w:rFonts w:cs="Tahoma"/>
                <w:bCs/>
                <w:szCs w:val="20"/>
                <w:lang w:eastAsia="en-US"/>
              </w:rPr>
              <w:t>actually introduce</w:t>
            </w:r>
            <w:proofErr w:type="gramEnd"/>
            <w:r>
              <w:rPr>
                <w:rFonts w:cs="Tahoma"/>
                <w:bCs/>
                <w:szCs w:val="20"/>
                <w:lang w:eastAsia="en-US"/>
              </w:rPr>
              <w:t xml:space="preserve"> 100% H</w:t>
            </w:r>
            <w:r w:rsidRPr="00E33124">
              <w:rPr>
                <w:rFonts w:cs="Tahoma"/>
                <w:bCs/>
                <w:szCs w:val="20"/>
                <w:vertAlign w:val="subscript"/>
                <w:lang w:eastAsia="en-US"/>
              </w:rPr>
              <w:t>2</w:t>
            </w:r>
            <w:r>
              <w:rPr>
                <w:rFonts w:cs="Tahoma"/>
                <w:bCs/>
                <w:szCs w:val="20"/>
                <w:lang w:eastAsia="en-US"/>
              </w:rPr>
              <w:t xml:space="preserve"> into the total system, and changes to the definition of “gas” to include hydrogen. Hydrogen will be produced by the unregulated business</w:t>
            </w:r>
            <w:r w:rsidR="001A1521">
              <w:rPr>
                <w:rFonts w:cs="Tahoma"/>
                <w:bCs/>
                <w:szCs w:val="20"/>
                <w:lang w:eastAsia="en-US"/>
              </w:rPr>
              <w:t xml:space="preserve"> SGN </w:t>
            </w:r>
            <w:proofErr w:type="gramStart"/>
            <w:r w:rsidR="001A1521">
              <w:rPr>
                <w:rFonts w:cs="Tahoma"/>
                <w:bCs/>
                <w:szCs w:val="20"/>
                <w:lang w:eastAsia="en-US"/>
              </w:rPr>
              <w:t>Futures, and</w:t>
            </w:r>
            <w:proofErr w:type="gramEnd"/>
            <w:r w:rsidR="001A1521">
              <w:rPr>
                <w:rFonts w:cs="Tahoma"/>
                <w:bCs/>
                <w:szCs w:val="20"/>
                <w:lang w:eastAsia="en-US"/>
              </w:rPr>
              <w:t xml:space="preserve"> distributed as normal by the regulated Scotia Gas Networks. </w:t>
            </w:r>
            <w:r w:rsidR="001A1521" w:rsidRPr="001A1521">
              <w:rPr>
                <w:rFonts w:cs="Tahoma"/>
                <w:bCs/>
                <w:szCs w:val="20"/>
                <w:lang w:eastAsia="en-US"/>
              </w:rPr>
              <w:t>No requirement from shippers to do separate purchasing of this hydrogen.</w:t>
            </w:r>
          </w:p>
          <w:p w14:paraId="347483A0" w14:textId="77777777" w:rsidR="00455B87" w:rsidRDefault="00455B87" w:rsidP="001A1521">
            <w:pPr>
              <w:pStyle w:val="ListParagraph"/>
              <w:numPr>
                <w:ilvl w:val="0"/>
                <w:numId w:val="12"/>
              </w:numPr>
              <w:rPr>
                <w:rFonts w:cs="Tahoma"/>
                <w:bCs/>
                <w:szCs w:val="20"/>
                <w:lang w:eastAsia="en-US"/>
              </w:rPr>
            </w:pPr>
            <w:r>
              <w:rPr>
                <w:rFonts w:cs="Tahoma"/>
                <w:bCs/>
                <w:szCs w:val="20"/>
                <w:lang w:eastAsia="en-US"/>
              </w:rPr>
              <w:t xml:space="preserve">Following process for calculation </w:t>
            </w:r>
            <w:r w:rsidR="00A32A53">
              <w:rPr>
                <w:rFonts w:cs="Tahoma"/>
                <w:bCs/>
                <w:szCs w:val="20"/>
                <w:lang w:eastAsia="en-US"/>
              </w:rPr>
              <w:t xml:space="preserve">and </w:t>
            </w:r>
            <w:r>
              <w:rPr>
                <w:rFonts w:cs="Tahoma"/>
                <w:bCs/>
                <w:szCs w:val="20"/>
                <w:lang w:eastAsia="en-US"/>
              </w:rPr>
              <w:t>declaration of the CV</w:t>
            </w:r>
            <w:r w:rsidR="00A32A53">
              <w:rPr>
                <w:rFonts w:cs="Tahoma"/>
                <w:bCs/>
                <w:szCs w:val="20"/>
                <w:lang w:eastAsia="en-US"/>
              </w:rPr>
              <w:t xml:space="preserve"> under the G(COTE)</w:t>
            </w:r>
            <w:r w:rsidR="00AD4158">
              <w:rPr>
                <w:rFonts w:cs="Tahoma"/>
                <w:bCs/>
                <w:szCs w:val="20"/>
                <w:lang w:eastAsia="en-US"/>
              </w:rPr>
              <w:t>R,</w:t>
            </w:r>
            <w:r>
              <w:rPr>
                <w:rFonts w:cs="Tahoma"/>
                <w:bCs/>
                <w:szCs w:val="20"/>
                <w:lang w:eastAsia="en-US"/>
              </w:rPr>
              <w:t xml:space="preserve"> ensuring the energy into the total system is based on recorded CV</w:t>
            </w:r>
            <w:r w:rsidR="00A32A53">
              <w:rPr>
                <w:rFonts w:cs="Tahoma"/>
                <w:bCs/>
                <w:szCs w:val="20"/>
                <w:lang w:eastAsia="en-US"/>
              </w:rPr>
              <w:t xml:space="preserve"> at point of entry.</w:t>
            </w:r>
            <w:r w:rsidR="00AD4158">
              <w:rPr>
                <w:rFonts w:cs="Tahoma"/>
                <w:bCs/>
                <w:szCs w:val="20"/>
                <w:lang w:eastAsia="en-US"/>
              </w:rPr>
              <w:t xml:space="preserve"> Approved by Ofgem and awaiting implementation.</w:t>
            </w:r>
          </w:p>
          <w:p w14:paraId="5514B67B" w14:textId="198651CA" w:rsidR="00B37E6D" w:rsidRPr="00B37E6D" w:rsidRDefault="00B37E6D" w:rsidP="00B37E6D">
            <w:pPr>
              <w:rPr>
                <w:rFonts w:cs="Tahoma"/>
                <w:b/>
                <w:szCs w:val="20"/>
                <w:lang w:eastAsia="en-US"/>
              </w:rPr>
            </w:pPr>
            <w:r w:rsidRPr="00B37E6D">
              <w:rPr>
                <w:rFonts w:cs="Tahoma"/>
                <w:b/>
                <w:szCs w:val="20"/>
                <w:lang w:eastAsia="en-US"/>
              </w:rPr>
              <w:t>Metering:</w:t>
            </w:r>
          </w:p>
          <w:p w14:paraId="0141BF8B" w14:textId="7BB17CCE" w:rsidR="005306CD" w:rsidRDefault="005306CD" w:rsidP="001A1521">
            <w:pPr>
              <w:pStyle w:val="ListParagraph"/>
              <w:numPr>
                <w:ilvl w:val="0"/>
                <w:numId w:val="12"/>
              </w:numPr>
              <w:rPr>
                <w:rFonts w:cs="Tahoma"/>
                <w:bCs/>
                <w:szCs w:val="20"/>
                <w:lang w:eastAsia="en-US"/>
              </w:rPr>
            </w:pPr>
            <w:r>
              <w:rPr>
                <w:rFonts w:cs="Tahoma"/>
                <w:bCs/>
                <w:szCs w:val="20"/>
                <w:lang w:eastAsia="en-US"/>
              </w:rPr>
              <w:t>SMETS2 H</w:t>
            </w:r>
            <w:r>
              <w:rPr>
                <w:rFonts w:cs="Tahoma"/>
                <w:bCs/>
                <w:szCs w:val="20"/>
                <w:vertAlign w:val="subscript"/>
                <w:lang w:eastAsia="en-US"/>
              </w:rPr>
              <w:t>2</w:t>
            </w:r>
            <w:r>
              <w:rPr>
                <w:rFonts w:cs="Tahoma"/>
                <w:bCs/>
                <w:szCs w:val="20"/>
                <w:lang w:eastAsia="en-US"/>
              </w:rPr>
              <w:t xml:space="preserve"> meters will be used, and inclusive of prepayment and credit meter functionality.</w:t>
            </w:r>
            <w:r w:rsidR="00CA3FA5">
              <w:rPr>
                <w:rFonts w:cs="Tahoma"/>
                <w:bCs/>
                <w:szCs w:val="20"/>
                <w:lang w:eastAsia="en-US"/>
              </w:rPr>
              <w:t xml:space="preserve"> SGN Futures will purchase</w:t>
            </w:r>
            <w:r w:rsidR="00251D7C">
              <w:rPr>
                <w:rFonts w:cs="Tahoma"/>
                <w:bCs/>
                <w:szCs w:val="20"/>
                <w:lang w:eastAsia="en-US"/>
              </w:rPr>
              <w:t xml:space="preserve"> these meters and appoint SGN Metering to undertake install/maintenance (recognising there may be some strand</w:t>
            </w:r>
            <w:r w:rsidR="009E7900">
              <w:rPr>
                <w:rFonts w:cs="Tahoma"/>
                <w:bCs/>
                <w:szCs w:val="20"/>
                <w:lang w:eastAsia="en-US"/>
              </w:rPr>
              <w:t>ing</w:t>
            </w:r>
            <w:r w:rsidR="00251D7C">
              <w:rPr>
                <w:rFonts w:cs="Tahoma"/>
                <w:bCs/>
                <w:szCs w:val="20"/>
                <w:lang w:eastAsia="en-US"/>
              </w:rPr>
              <w:t xml:space="preserve"> costs here)</w:t>
            </w:r>
            <w:r w:rsidR="009E7900">
              <w:rPr>
                <w:rFonts w:cs="Tahoma"/>
                <w:bCs/>
                <w:szCs w:val="20"/>
                <w:lang w:eastAsia="en-US"/>
              </w:rPr>
              <w:t xml:space="preserve"> and provide MRPNs of enrolled customers to the relevant suppliers in advance.</w:t>
            </w:r>
            <w:r w:rsidR="00747D71">
              <w:rPr>
                <w:rFonts w:cs="Tahoma"/>
                <w:bCs/>
                <w:szCs w:val="20"/>
                <w:lang w:eastAsia="en-US"/>
              </w:rPr>
              <w:t xml:space="preserve"> Xoserve will notify shippers when customers go live with hydrogen or where there is a change in supplier (customers </w:t>
            </w:r>
            <w:proofErr w:type="gramStart"/>
            <w:r w:rsidR="00747D71">
              <w:rPr>
                <w:rFonts w:cs="Tahoma"/>
                <w:bCs/>
                <w:szCs w:val="20"/>
                <w:lang w:eastAsia="en-US"/>
              </w:rPr>
              <w:t>have the ability to</w:t>
            </w:r>
            <w:proofErr w:type="gramEnd"/>
            <w:r w:rsidR="00747D71">
              <w:rPr>
                <w:rFonts w:cs="Tahoma"/>
                <w:bCs/>
                <w:szCs w:val="20"/>
                <w:lang w:eastAsia="en-US"/>
              </w:rPr>
              <w:t xml:space="preserve"> switch suppliers). </w:t>
            </w:r>
            <w:r w:rsidR="00F364D7">
              <w:rPr>
                <w:rFonts w:cs="Tahoma"/>
                <w:bCs/>
                <w:szCs w:val="20"/>
                <w:lang w:eastAsia="en-US"/>
              </w:rPr>
              <w:t xml:space="preserve">Shippers will be able to identify the MRPNs of meters involved in H100. </w:t>
            </w:r>
            <w:r w:rsidR="00747D71">
              <w:rPr>
                <w:rFonts w:cs="Tahoma"/>
                <w:bCs/>
                <w:szCs w:val="20"/>
                <w:lang w:eastAsia="en-US"/>
              </w:rPr>
              <w:t>Meters will be linked to DCC through the comms hub</w:t>
            </w:r>
            <w:r w:rsidR="00FF039A">
              <w:rPr>
                <w:rFonts w:cs="Tahoma"/>
                <w:bCs/>
                <w:szCs w:val="20"/>
                <w:lang w:eastAsia="en-US"/>
              </w:rPr>
              <w:t>, and suppliers will remain responsible for activating those meters.</w:t>
            </w:r>
          </w:p>
          <w:p w14:paraId="7E5DD16A" w14:textId="77777777" w:rsidR="00A84A00" w:rsidRDefault="004E08DC" w:rsidP="005B3722">
            <w:pPr>
              <w:pStyle w:val="ListParagraph"/>
              <w:numPr>
                <w:ilvl w:val="0"/>
                <w:numId w:val="12"/>
              </w:numPr>
              <w:rPr>
                <w:rFonts w:cs="Tahoma"/>
                <w:bCs/>
                <w:szCs w:val="20"/>
                <w:lang w:eastAsia="en-US"/>
              </w:rPr>
            </w:pPr>
            <w:r>
              <w:rPr>
                <w:rFonts w:cs="Tahoma"/>
                <w:bCs/>
                <w:szCs w:val="20"/>
                <w:lang w:eastAsia="en-US"/>
              </w:rPr>
              <w:t>Meter accuracy is key to avoid customers overpaying – they will pay the unit cost of natural gas, so that suppliers can offer tariffs as if they were on natural gas.</w:t>
            </w:r>
            <w:r w:rsidR="00A02F69">
              <w:rPr>
                <w:rFonts w:cs="Tahoma"/>
                <w:bCs/>
                <w:szCs w:val="20"/>
                <w:lang w:eastAsia="en-US"/>
              </w:rPr>
              <w:t xml:space="preserve"> To achieve volume equivalence</w:t>
            </w:r>
            <w:r w:rsidR="00533885">
              <w:rPr>
                <w:rFonts w:cs="Tahoma"/>
                <w:bCs/>
                <w:szCs w:val="20"/>
                <w:lang w:eastAsia="en-US"/>
              </w:rPr>
              <w:t xml:space="preserve">, </w:t>
            </w:r>
            <w:r w:rsidR="00A02F69">
              <w:rPr>
                <w:rFonts w:cs="Tahoma"/>
                <w:bCs/>
                <w:szCs w:val="20"/>
                <w:lang w:eastAsia="en-US"/>
              </w:rPr>
              <w:t xml:space="preserve">the </w:t>
            </w:r>
            <w:r w:rsidR="00A02F69">
              <w:rPr>
                <w:rFonts w:cs="Tahoma"/>
                <w:bCs/>
                <w:szCs w:val="20"/>
                <w:lang w:eastAsia="en-US"/>
              </w:rPr>
              <w:lastRenderedPageBreak/>
              <w:t>meter manufacturer will set a default CV</w:t>
            </w:r>
            <w:r w:rsidR="00D62FBE">
              <w:rPr>
                <w:rFonts w:cs="Tahoma"/>
                <w:bCs/>
                <w:szCs w:val="20"/>
                <w:lang w:eastAsia="en-US"/>
              </w:rPr>
              <w:t xml:space="preserve"> in the SMETS2 at point of production</w:t>
            </w:r>
            <w:r w:rsidR="00CE2E37">
              <w:rPr>
                <w:rFonts w:cs="Tahoma"/>
                <w:bCs/>
                <w:szCs w:val="20"/>
                <w:lang w:eastAsia="en-US"/>
              </w:rPr>
              <w:t xml:space="preserve"> and apply a multiplication factor to credit meters.</w:t>
            </w:r>
            <w:r w:rsidR="00533885">
              <w:rPr>
                <w:rFonts w:cs="Tahoma"/>
                <w:bCs/>
                <w:szCs w:val="20"/>
                <w:lang w:eastAsia="en-US"/>
              </w:rPr>
              <w:t xml:space="preserve"> Meters and in-home display will show the corrected volumes</w:t>
            </w:r>
            <w:r w:rsidR="00D915B3">
              <w:rPr>
                <w:rFonts w:cs="Tahoma"/>
                <w:bCs/>
                <w:szCs w:val="20"/>
                <w:lang w:eastAsia="en-US"/>
              </w:rPr>
              <w:t>, and update messages to CV updates</w:t>
            </w:r>
            <w:r w:rsidR="00B37E6D">
              <w:rPr>
                <w:rFonts w:cs="Tahoma"/>
                <w:bCs/>
                <w:szCs w:val="20"/>
                <w:lang w:eastAsia="en-US"/>
              </w:rPr>
              <w:t xml:space="preserve"> will be supressed.</w:t>
            </w:r>
          </w:p>
          <w:p w14:paraId="280BCFF9" w14:textId="4116B77C" w:rsidR="00E0309F" w:rsidRDefault="00A73680" w:rsidP="00D266FE">
            <w:pPr>
              <w:rPr>
                <w:rFonts w:cs="Tahoma"/>
                <w:bCs/>
                <w:szCs w:val="20"/>
                <w:lang w:eastAsia="en-US"/>
              </w:rPr>
            </w:pPr>
            <w:r>
              <w:rPr>
                <w:rFonts w:cs="Tahoma"/>
                <w:bCs/>
                <w:szCs w:val="20"/>
                <w:lang w:eastAsia="en-US"/>
              </w:rPr>
              <w:t>CM</w:t>
            </w:r>
            <w:r w:rsidR="0077775D">
              <w:rPr>
                <w:rFonts w:cs="Tahoma"/>
                <w:bCs/>
                <w:szCs w:val="20"/>
                <w:lang w:eastAsia="en-US"/>
              </w:rPr>
              <w:t xml:space="preserve"> queried whether the </w:t>
            </w:r>
            <w:r w:rsidR="00D266FE">
              <w:rPr>
                <w:rFonts w:cs="Tahoma"/>
                <w:bCs/>
                <w:szCs w:val="20"/>
                <w:lang w:eastAsia="en-US"/>
              </w:rPr>
              <w:t xml:space="preserve">CV adjustment/multiplication factor in meters could be </w:t>
            </w:r>
            <w:r w:rsidR="00BC1834">
              <w:rPr>
                <w:rFonts w:cs="Tahoma"/>
                <w:bCs/>
                <w:szCs w:val="20"/>
                <w:lang w:eastAsia="en-US"/>
              </w:rPr>
              <w:t>appl</w:t>
            </w:r>
            <w:r w:rsidR="00D266FE">
              <w:rPr>
                <w:rFonts w:cs="Tahoma"/>
                <w:bCs/>
                <w:szCs w:val="20"/>
                <w:lang w:eastAsia="en-US"/>
              </w:rPr>
              <w:t>ied</w:t>
            </w:r>
            <w:r w:rsidR="00BC1834">
              <w:rPr>
                <w:rFonts w:cs="Tahoma"/>
                <w:bCs/>
                <w:szCs w:val="20"/>
                <w:lang w:eastAsia="en-US"/>
              </w:rPr>
              <w:t xml:space="preserve"> to natural gas consumers now to facilitate lower CV, un-propanated biomethane</w:t>
            </w:r>
            <w:r w:rsidR="00D266FE">
              <w:rPr>
                <w:rFonts w:cs="Tahoma"/>
                <w:bCs/>
                <w:szCs w:val="20"/>
                <w:lang w:eastAsia="en-US"/>
              </w:rPr>
              <w:t xml:space="preserve">. JM explained that </w:t>
            </w:r>
            <w:r w:rsidR="00E0309F">
              <w:rPr>
                <w:rFonts w:cs="Tahoma"/>
                <w:bCs/>
                <w:szCs w:val="20"/>
                <w:lang w:eastAsia="en-US"/>
              </w:rPr>
              <w:t>with H100, the network is physically separate from the existing natural gas network, so it</w:t>
            </w:r>
            <w:r w:rsidR="00D266FE">
              <w:rPr>
                <w:rFonts w:cs="Tahoma"/>
                <w:bCs/>
                <w:szCs w:val="20"/>
                <w:lang w:eastAsia="en-US"/>
              </w:rPr>
              <w:t xml:space="preserve"> was</w:t>
            </w:r>
            <w:r w:rsidR="00E0309F">
              <w:rPr>
                <w:rFonts w:cs="Tahoma"/>
                <w:bCs/>
                <w:szCs w:val="20"/>
                <w:lang w:eastAsia="en-US"/>
              </w:rPr>
              <w:t xml:space="preserve"> much more straightforward to group MRPNs and keep them separate; all the customers will receive the same </w:t>
            </w:r>
            <w:r w:rsidR="00D266FE">
              <w:rPr>
                <w:rFonts w:cs="Tahoma"/>
                <w:bCs/>
                <w:szCs w:val="20"/>
                <w:lang w:eastAsia="en-US"/>
              </w:rPr>
              <w:t>hydrogen</w:t>
            </w:r>
            <w:r w:rsidR="00E0309F">
              <w:rPr>
                <w:rFonts w:cs="Tahoma"/>
                <w:bCs/>
                <w:szCs w:val="20"/>
                <w:lang w:eastAsia="en-US"/>
              </w:rPr>
              <w:t xml:space="preserve"> </w:t>
            </w:r>
            <w:r w:rsidR="00D266FE">
              <w:rPr>
                <w:rFonts w:cs="Tahoma"/>
                <w:bCs/>
                <w:szCs w:val="20"/>
                <w:lang w:eastAsia="en-US"/>
              </w:rPr>
              <w:t>with</w:t>
            </w:r>
            <w:r w:rsidR="00E0309F">
              <w:rPr>
                <w:rFonts w:cs="Tahoma"/>
                <w:bCs/>
                <w:szCs w:val="20"/>
                <w:lang w:eastAsia="en-US"/>
              </w:rPr>
              <w:t xml:space="preserve"> the same CV. However, the zone of influence for biomethane in the network varies day-on-day, so it</w:t>
            </w:r>
            <w:r w:rsidR="00D266FE">
              <w:rPr>
                <w:rFonts w:cs="Tahoma"/>
                <w:bCs/>
                <w:szCs w:val="20"/>
                <w:lang w:eastAsia="en-US"/>
              </w:rPr>
              <w:t xml:space="preserve"> i</w:t>
            </w:r>
            <w:r w:rsidR="00E0309F">
              <w:rPr>
                <w:rFonts w:cs="Tahoma"/>
                <w:bCs/>
                <w:szCs w:val="20"/>
                <w:lang w:eastAsia="en-US"/>
              </w:rPr>
              <w:t>s very difficult to forecast which customers would receive lower CV gas</w:t>
            </w:r>
            <w:r w:rsidR="00D266FE">
              <w:rPr>
                <w:rFonts w:cs="Tahoma"/>
                <w:bCs/>
                <w:szCs w:val="20"/>
                <w:lang w:eastAsia="en-US"/>
              </w:rPr>
              <w:t>. On specific, bespoke areas of the network that you knew were on 100% biomethane all the time, you could theoretically create a new charging zone, but doing</w:t>
            </w:r>
            <w:r w:rsidR="00FA5E83">
              <w:rPr>
                <w:rFonts w:cs="Tahoma"/>
                <w:bCs/>
                <w:szCs w:val="20"/>
                <w:lang w:eastAsia="en-US"/>
              </w:rPr>
              <w:t xml:space="preserve"> so in central systems is quite costly/tricky. A </w:t>
            </w:r>
            <w:r w:rsidR="00D266FE">
              <w:rPr>
                <w:rFonts w:cs="Tahoma"/>
                <w:bCs/>
                <w:szCs w:val="20"/>
                <w:lang w:eastAsia="en-US"/>
              </w:rPr>
              <w:t xml:space="preserve">GDN </w:t>
            </w:r>
            <w:r w:rsidR="00FA5E83">
              <w:rPr>
                <w:rFonts w:cs="Tahoma"/>
                <w:bCs/>
                <w:szCs w:val="20"/>
                <w:lang w:eastAsia="en-US"/>
              </w:rPr>
              <w:t xml:space="preserve">project </w:t>
            </w:r>
            <w:r w:rsidR="00D266FE">
              <w:rPr>
                <w:rFonts w:cs="Tahoma"/>
                <w:bCs/>
                <w:szCs w:val="20"/>
                <w:lang w:eastAsia="en-US"/>
              </w:rPr>
              <w:t xml:space="preserve">was </w:t>
            </w:r>
            <w:r w:rsidR="00FA5E83">
              <w:rPr>
                <w:rFonts w:cs="Tahoma"/>
                <w:bCs/>
                <w:szCs w:val="20"/>
                <w:lang w:eastAsia="en-US"/>
              </w:rPr>
              <w:t>ongoing looking at billing for hydrogen and unpropanated biomethane</w:t>
            </w:r>
            <w:r w:rsidR="00D266FE">
              <w:rPr>
                <w:rFonts w:cs="Tahoma"/>
                <w:bCs/>
                <w:szCs w:val="20"/>
                <w:lang w:eastAsia="en-US"/>
              </w:rPr>
              <w:t>, which may be of interest to follow up on.</w:t>
            </w:r>
          </w:p>
          <w:p w14:paraId="73669558" w14:textId="25F69A4A" w:rsidR="00740C90" w:rsidRDefault="00D266FE" w:rsidP="00740C90">
            <w:pPr>
              <w:rPr>
                <w:rFonts w:cs="Tahoma"/>
                <w:bCs/>
                <w:szCs w:val="20"/>
                <w:lang w:eastAsia="en-US"/>
              </w:rPr>
            </w:pPr>
            <w:r>
              <w:rPr>
                <w:rFonts w:cs="Tahoma"/>
                <w:bCs/>
                <w:szCs w:val="20"/>
                <w:lang w:eastAsia="en-US"/>
              </w:rPr>
              <w:t xml:space="preserve">LA </w:t>
            </w:r>
            <w:r w:rsidR="00740C90">
              <w:rPr>
                <w:rFonts w:cs="Tahoma"/>
                <w:bCs/>
                <w:szCs w:val="20"/>
                <w:lang w:eastAsia="en-US"/>
              </w:rPr>
              <w:t xml:space="preserve">and JM </w:t>
            </w:r>
            <w:r>
              <w:rPr>
                <w:rFonts w:cs="Tahoma"/>
                <w:bCs/>
                <w:szCs w:val="20"/>
                <w:lang w:eastAsia="en-US"/>
              </w:rPr>
              <w:t xml:space="preserve">clarified that </w:t>
            </w:r>
            <w:r w:rsidR="00740C90">
              <w:rPr>
                <w:rFonts w:cs="Tahoma"/>
                <w:bCs/>
                <w:szCs w:val="20"/>
                <w:lang w:eastAsia="en-US"/>
              </w:rPr>
              <w:t xml:space="preserve">to </w:t>
            </w:r>
            <w:r w:rsidR="00740C90">
              <w:rPr>
                <w:rFonts w:cs="Tahoma"/>
                <w:bCs/>
                <w:szCs w:val="20"/>
                <w:lang w:eastAsia="en-US"/>
              </w:rPr>
              <w:t>retain flexibility for all meters to be</w:t>
            </w:r>
            <w:r w:rsidR="00740C90">
              <w:rPr>
                <w:rFonts w:cs="Tahoma"/>
                <w:bCs/>
                <w:szCs w:val="20"/>
                <w:lang w:eastAsia="en-US"/>
              </w:rPr>
              <w:t xml:space="preserve"> or </w:t>
            </w:r>
            <w:r w:rsidR="00740C90">
              <w:rPr>
                <w:rFonts w:cs="Tahoma"/>
                <w:bCs/>
                <w:szCs w:val="20"/>
                <w:lang w:eastAsia="en-US"/>
              </w:rPr>
              <w:t>switch to pre-payment</w:t>
            </w:r>
            <w:r w:rsidR="00740C90">
              <w:rPr>
                <w:rFonts w:cs="Tahoma"/>
                <w:bCs/>
                <w:szCs w:val="20"/>
                <w:lang w:eastAsia="en-US"/>
              </w:rPr>
              <w:t>, and to ensure the in-home display was correct, the default CV was hard coded into all meters involved in the trial.</w:t>
            </w:r>
          </w:p>
          <w:p w14:paraId="56786531" w14:textId="37A3ECBE" w:rsidR="0077775D" w:rsidRPr="0099049A" w:rsidRDefault="0099049A" w:rsidP="003F1BCE">
            <w:pPr>
              <w:rPr>
                <w:rFonts w:cs="Tahoma"/>
                <w:b/>
                <w:szCs w:val="20"/>
                <w:lang w:eastAsia="en-US"/>
              </w:rPr>
            </w:pPr>
            <w:r>
              <w:rPr>
                <w:rFonts w:cs="Tahoma"/>
                <w:b/>
                <w:szCs w:val="20"/>
                <w:lang w:eastAsia="en-US"/>
              </w:rPr>
              <w:t>Customer</w:t>
            </w:r>
            <w:r w:rsidRPr="0099049A">
              <w:rPr>
                <w:rFonts w:cs="Tahoma"/>
                <w:b/>
                <w:szCs w:val="20"/>
                <w:lang w:eastAsia="en-US"/>
              </w:rPr>
              <w:t xml:space="preserve"> Choice</w:t>
            </w:r>
            <w:r w:rsidR="00FF2D76">
              <w:rPr>
                <w:rFonts w:cs="Tahoma"/>
                <w:b/>
                <w:szCs w:val="20"/>
                <w:lang w:eastAsia="en-US"/>
              </w:rPr>
              <w:t>:</w:t>
            </w:r>
          </w:p>
          <w:p w14:paraId="2E453145" w14:textId="540A0841" w:rsidR="0099049A" w:rsidRDefault="00497C90" w:rsidP="00497C90">
            <w:pPr>
              <w:pStyle w:val="ListParagraph"/>
              <w:numPr>
                <w:ilvl w:val="0"/>
                <w:numId w:val="12"/>
              </w:numPr>
              <w:rPr>
                <w:rFonts w:cs="Tahoma"/>
                <w:bCs/>
                <w:szCs w:val="20"/>
                <w:lang w:eastAsia="en-US"/>
              </w:rPr>
            </w:pPr>
            <w:r>
              <w:rPr>
                <w:rFonts w:cs="Tahoma"/>
                <w:bCs/>
                <w:szCs w:val="20"/>
                <w:lang w:eastAsia="en-US"/>
              </w:rPr>
              <w:t xml:space="preserve">Need to accommodate the ability to opt-out as well; project fully supports the reversal to natural </w:t>
            </w:r>
            <w:r w:rsidR="00FF2D76">
              <w:rPr>
                <w:rFonts w:cs="Tahoma"/>
                <w:bCs/>
                <w:szCs w:val="20"/>
                <w:lang w:eastAsia="en-US"/>
              </w:rPr>
              <w:t>gas but</w:t>
            </w:r>
            <w:r>
              <w:rPr>
                <w:rFonts w:cs="Tahoma"/>
                <w:bCs/>
                <w:szCs w:val="20"/>
                <w:lang w:eastAsia="en-US"/>
              </w:rPr>
              <w:t xml:space="preserve"> requires </w:t>
            </w:r>
            <w:r w:rsidR="00B56766">
              <w:rPr>
                <w:rFonts w:cs="Tahoma"/>
                <w:bCs/>
                <w:szCs w:val="20"/>
                <w:lang w:eastAsia="en-US"/>
              </w:rPr>
              <w:t>coordination on the network side.</w:t>
            </w:r>
            <w:r w:rsidR="008470E7">
              <w:rPr>
                <w:rFonts w:cs="Tahoma"/>
                <w:bCs/>
                <w:szCs w:val="20"/>
                <w:lang w:eastAsia="en-US"/>
              </w:rPr>
              <w:t xml:space="preserve"> For customers opting out with a PAYG tariff, SGN would remove the meter and the supplier install a SMETS Natural Gas Meter. </w:t>
            </w:r>
            <w:r w:rsidR="003253F4">
              <w:rPr>
                <w:rFonts w:cs="Tahoma"/>
                <w:bCs/>
                <w:szCs w:val="20"/>
                <w:lang w:eastAsia="en-US"/>
              </w:rPr>
              <w:t>For customers on credit tariffs, the standard approach would be for SGN to replace the meter with a legacy meter, however this approach requir</w:t>
            </w:r>
            <w:r w:rsidR="00470B73">
              <w:rPr>
                <w:rFonts w:cs="Tahoma"/>
                <w:bCs/>
                <w:szCs w:val="20"/>
                <w:lang w:eastAsia="en-US"/>
              </w:rPr>
              <w:t>es validation.</w:t>
            </w:r>
          </w:p>
          <w:p w14:paraId="06F90AA3" w14:textId="1B9B9EE4" w:rsidR="00BE4D0C" w:rsidRPr="00497C90" w:rsidRDefault="00BE4D0C" w:rsidP="00497C90">
            <w:pPr>
              <w:pStyle w:val="ListParagraph"/>
              <w:numPr>
                <w:ilvl w:val="0"/>
                <w:numId w:val="12"/>
              </w:numPr>
              <w:rPr>
                <w:rFonts w:cs="Tahoma"/>
                <w:bCs/>
                <w:szCs w:val="20"/>
                <w:lang w:eastAsia="en-US"/>
              </w:rPr>
            </w:pPr>
            <w:r>
              <w:rPr>
                <w:rFonts w:cs="Tahoma"/>
                <w:bCs/>
                <w:szCs w:val="20"/>
                <w:lang w:eastAsia="en-US"/>
              </w:rPr>
              <w:t xml:space="preserve">At the end of the project, </w:t>
            </w:r>
            <w:r w:rsidR="009B6F87">
              <w:rPr>
                <w:rFonts w:cs="Tahoma"/>
                <w:bCs/>
                <w:szCs w:val="20"/>
                <w:lang w:eastAsia="en-US"/>
              </w:rPr>
              <w:t>this</w:t>
            </w:r>
            <w:r>
              <w:rPr>
                <w:rFonts w:cs="Tahoma"/>
                <w:bCs/>
                <w:szCs w:val="20"/>
                <w:lang w:eastAsia="en-US"/>
              </w:rPr>
              <w:t xml:space="preserve"> will be required across all customers if they return to natural gas.</w:t>
            </w:r>
          </w:p>
          <w:p w14:paraId="77BEA029" w14:textId="26BE1130" w:rsidR="00B37E6D" w:rsidRPr="00E91959" w:rsidRDefault="00E91959" w:rsidP="00B37E6D">
            <w:pPr>
              <w:rPr>
                <w:rFonts w:cs="Tahoma"/>
                <w:b/>
                <w:szCs w:val="20"/>
                <w:lang w:eastAsia="en-US"/>
              </w:rPr>
            </w:pPr>
            <w:r w:rsidRPr="00E91959">
              <w:rPr>
                <w:rFonts w:cs="Tahoma"/>
                <w:b/>
                <w:szCs w:val="20"/>
                <w:lang w:eastAsia="en-US"/>
              </w:rPr>
              <w:t>Key Industry Asks</w:t>
            </w:r>
            <w:r w:rsidR="00FF2D76">
              <w:rPr>
                <w:rFonts w:cs="Tahoma"/>
                <w:b/>
                <w:szCs w:val="20"/>
                <w:lang w:eastAsia="en-US"/>
              </w:rPr>
              <w:t>:</w:t>
            </w:r>
          </w:p>
          <w:p w14:paraId="442B0004" w14:textId="77777777" w:rsidR="00107BA1" w:rsidRDefault="00E91959" w:rsidP="00107BA1">
            <w:pPr>
              <w:pStyle w:val="ListParagraph"/>
              <w:numPr>
                <w:ilvl w:val="0"/>
                <w:numId w:val="12"/>
              </w:numPr>
              <w:rPr>
                <w:rFonts w:cs="Tahoma"/>
                <w:bCs/>
                <w:szCs w:val="20"/>
                <w:lang w:eastAsia="en-US"/>
              </w:rPr>
            </w:pPr>
            <w:r>
              <w:rPr>
                <w:rFonts w:cs="Tahoma"/>
                <w:bCs/>
                <w:szCs w:val="20"/>
                <w:lang w:eastAsia="en-US"/>
              </w:rPr>
              <w:t xml:space="preserve">Nomination of primary and secondary contacts as a point of contact </w:t>
            </w:r>
            <w:r w:rsidR="00F73E34">
              <w:rPr>
                <w:rFonts w:cs="Tahoma"/>
                <w:bCs/>
                <w:szCs w:val="20"/>
                <w:lang w:eastAsia="en-US"/>
              </w:rPr>
              <w:t>for H100 Fife, to establish a Regulatory Industry Working Group for H100 Fife (by SGN, early 2024).</w:t>
            </w:r>
          </w:p>
          <w:p w14:paraId="651156FB" w14:textId="77777777" w:rsidR="00107BA1" w:rsidRDefault="00107BA1" w:rsidP="00107BA1">
            <w:pPr>
              <w:pStyle w:val="ListParagraph"/>
              <w:numPr>
                <w:ilvl w:val="0"/>
                <w:numId w:val="12"/>
              </w:numPr>
              <w:rPr>
                <w:rFonts w:cs="Tahoma"/>
                <w:bCs/>
                <w:szCs w:val="20"/>
                <w:lang w:eastAsia="en-US"/>
              </w:rPr>
            </w:pPr>
            <w:r>
              <w:rPr>
                <w:rFonts w:cs="Tahoma"/>
                <w:bCs/>
                <w:szCs w:val="20"/>
                <w:lang w:eastAsia="en-US"/>
              </w:rPr>
              <w:t>Raising any concerns or resourcing challenges the project needs to be aware of.</w:t>
            </w:r>
          </w:p>
          <w:p w14:paraId="114738EC" w14:textId="65F616A6" w:rsidR="00856351" w:rsidRPr="00713F37" w:rsidRDefault="00107BA1" w:rsidP="00856351">
            <w:pPr>
              <w:pStyle w:val="ListParagraph"/>
              <w:numPr>
                <w:ilvl w:val="0"/>
                <w:numId w:val="12"/>
              </w:numPr>
              <w:rPr>
                <w:rFonts w:cs="Tahoma"/>
                <w:bCs/>
                <w:szCs w:val="20"/>
                <w:lang w:eastAsia="en-US"/>
              </w:rPr>
            </w:pPr>
            <w:r>
              <w:rPr>
                <w:rFonts w:cs="Tahoma"/>
                <w:bCs/>
                <w:szCs w:val="20"/>
                <w:lang w:eastAsia="en-US"/>
              </w:rPr>
              <w:t xml:space="preserve">Ultimately reaching a point of endorsement </w:t>
            </w:r>
            <w:r w:rsidR="00FF2D76">
              <w:rPr>
                <w:rFonts w:cs="Tahoma"/>
                <w:bCs/>
                <w:szCs w:val="20"/>
                <w:lang w:eastAsia="en-US"/>
              </w:rPr>
              <w:t>of the project’s regulatory model as presented.</w:t>
            </w:r>
          </w:p>
        </w:tc>
      </w:tr>
    </w:tbl>
    <w:p w14:paraId="679F40A9" w14:textId="7B79C156" w:rsidR="002034B7" w:rsidRDefault="002034B7"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D34903" w:rsidRPr="00232395" w14:paraId="6741E4DE" w14:textId="77777777" w:rsidTr="009734BB">
        <w:trPr>
          <w:trHeight w:val="482"/>
        </w:trPr>
        <w:tc>
          <w:tcPr>
            <w:tcW w:w="8077" w:type="dxa"/>
            <w:shd w:val="clear" w:color="auto" w:fill="009FE3" w:themeFill="accent4"/>
            <w:vAlign w:val="center"/>
          </w:tcPr>
          <w:p w14:paraId="215DFAF4" w14:textId="54A73482" w:rsidR="00D34903" w:rsidRPr="00232395" w:rsidRDefault="003A5D0D" w:rsidP="009734BB">
            <w:pPr>
              <w:rPr>
                <w:rFonts w:cs="Tahoma"/>
                <w:b/>
                <w:bCs/>
                <w:color w:val="FFFFFF" w:themeColor="background1"/>
                <w:szCs w:val="20"/>
                <w:lang w:eastAsia="en-US"/>
              </w:rPr>
            </w:pPr>
            <w:r>
              <w:rPr>
                <w:rFonts w:cs="Tahoma"/>
                <w:b/>
                <w:bCs/>
                <w:color w:val="FFFFFF" w:themeColor="background1"/>
                <w:szCs w:val="20"/>
                <w:lang w:eastAsia="en-US"/>
              </w:rPr>
              <w:t xml:space="preserve">3. </w:t>
            </w:r>
            <w:r w:rsidR="002D611D">
              <w:rPr>
                <w:rFonts w:cs="Tahoma"/>
                <w:b/>
                <w:bCs/>
                <w:color w:val="FFFFFF" w:themeColor="background1"/>
                <w:szCs w:val="20"/>
                <w:lang w:eastAsia="en-US"/>
              </w:rPr>
              <w:t xml:space="preserve"> Action Log Update</w:t>
            </w:r>
          </w:p>
        </w:tc>
        <w:tc>
          <w:tcPr>
            <w:tcW w:w="1701" w:type="dxa"/>
            <w:shd w:val="clear" w:color="auto" w:fill="009FE3" w:themeFill="accent4"/>
            <w:vAlign w:val="center"/>
          </w:tcPr>
          <w:p w14:paraId="2D711BBD" w14:textId="788DC208" w:rsidR="00D34903" w:rsidRPr="00232395" w:rsidRDefault="002D611D" w:rsidP="009734BB">
            <w:pPr>
              <w:jc w:val="center"/>
              <w:rPr>
                <w:rFonts w:cs="Tahoma"/>
                <w:b/>
                <w:bCs/>
                <w:color w:val="FFFFFF" w:themeColor="background1"/>
                <w:szCs w:val="20"/>
                <w:lang w:eastAsia="en-US"/>
              </w:rPr>
            </w:pPr>
            <w:r>
              <w:rPr>
                <w:rFonts w:cs="Tahoma"/>
                <w:b/>
                <w:bCs/>
                <w:color w:val="FFFFFF" w:themeColor="background1"/>
                <w:szCs w:val="20"/>
                <w:lang w:eastAsia="en-US"/>
              </w:rPr>
              <w:t>MR</w:t>
            </w:r>
          </w:p>
        </w:tc>
      </w:tr>
      <w:tr w:rsidR="00D34903" w:rsidRPr="00232395" w14:paraId="2CBF9965" w14:textId="77777777" w:rsidTr="009734BB">
        <w:trPr>
          <w:trHeight w:val="482"/>
        </w:trPr>
        <w:tc>
          <w:tcPr>
            <w:tcW w:w="9778" w:type="dxa"/>
            <w:gridSpan w:val="2"/>
            <w:shd w:val="clear" w:color="auto" w:fill="E1F6FF"/>
            <w:vAlign w:val="center"/>
          </w:tcPr>
          <w:p w14:paraId="65F6163A" w14:textId="0A9BB293" w:rsidR="00AE0572" w:rsidRDefault="003B62A7" w:rsidP="00AE0572">
            <w:pPr>
              <w:rPr>
                <w:rFonts w:cs="Tahoma"/>
                <w:bCs/>
                <w:szCs w:val="20"/>
                <w:lang w:eastAsia="en-US"/>
              </w:rPr>
            </w:pPr>
            <w:r>
              <w:rPr>
                <w:rFonts w:cs="Tahoma"/>
                <w:bCs/>
                <w:szCs w:val="20"/>
                <w:lang w:eastAsia="en-US"/>
              </w:rPr>
              <w:t xml:space="preserve">The group’s action log was updated. JM queried how </w:t>
            </w:r>
            <w:r w:rsidR="00AB0049">
              <w:rPr>
                <w:rFonts w:cs="Tahoma"/>
                <w:bCs/>
                <w:szCs w:val="20"/>
                <w:lang w:eastAsia="en-US"/>
              </w:rPr>
              <w:t xml:space="preserve">decisions about changes to the </w:t>
            </w:r>
            <w:r>
              <w:rPr>
                <w:rFonts w:cs="Tahoma"/>
                <w:bCs/>
                <w:szCs w:val="20"/>
                <w:lang w:eastAsia="en-US"/>
              </w:rPr>
              <w:t xml:space="preserve">Wobbe </w:t>
            </w:r>
            <w:r w:rsidR="00AB0049">
              <w:rPr>
                <w:rFonts w:cs="Tahoma"/>
                <w:bCs/>
                <w:szCs w:val="20"/>
                <w:lang w:eastAsia="en-US"/>
              </w:rPr>
              <w:t>would be communicated to DFOs</w:t>
            </w:r>
            <w:r w:rsidR="00BA16DA">
              <w:rPr>
                <w:rFonts w:cs="Tahoma"/>
                <w:bCs/>
                <w:szCs w:val="20"/>
                <w:lang w:eastAsia="en-US"/>
              </w:rPr>
              <w:t>, bearing</w:t>
            </w:r>
            <w:r w:rsidR="003F7B88">
              <w:rPr>
                <w:rFonts w:cs="Tahoma"/>
                <w:bCs/>
                <w:szCs w:val="20"/>
                <w:lang w:eastAsia="en-US"/>
              </w:rPr>
              <w:t xml:space="preserve"> in mind the low likelihood that a </w:t>
            </w:r>
            <w:r w:rsidR="00BA16DA">
              <w:rPr>
                <w:rFonts w:cs="Tahoma"/>
                <w:bCs/>
                <w:szCs w:val="20"/>
                <w:lang w:eastAsia="en-US"/>
              </w:rPr>
              <w:t>site</w:t>
            </w:r>
            <w:r w:rsidR="003F7B88">
              <w:rPr>
                <w:rFonts w:cs="Tahoma"/>
                <w:bCs/>
                <w:szCs w:val="20"/>
                <w:lang w:eastAsia="en-US"/>
              </w:rPr>
              <w:t xml:space="preserve"> would struggle with low-Wobbe gas</w:t>
            </w:r>
            <w:r w:rsidR="00BA16DA">
              <w:rPr>
                <w:rFonts w:cs="Tahoma"/>
                <w:bCs/>
                <w:szCs w:val="20"/>
                <w:lang w:eastAsia="en-US"/>
              </w:rPr>
              <w:t>. If this was the case, the GDN would need to implement a solution. Else, individual networks would approach their own DFOs</w:t>
            </w:r>
            <w:r w:rsidR="00AE0572">
              <w:rPr>
                <w:rFonts w:cs="Tahoma"/>
                <w:bCs/>
                <w:szCs w:val="20"/>
                <w:lang w:eastAsia="en-US"/>
              </w:rPr>
              <w:t xml:space="preserve"> with their approach. </w:t>
            </w:r>
            <w:r w:rsidR="00AE0572" w:rsidRPr="00AE0572">
              <w:rPr>
                <w:rFonts w:cs="Tahoma"/>
                <w:bCs/>
                <w:i/>
                <w:iCs/>
                <w:szCs w:val="20"/>
                <w:lang w:eastAsia="en-US"/>
              </w:rPr>
              <w:t>N.B. If there are any opposing views, please share these with MR.</w:t>
            </w:r>
          </w:p>
        </w:tc>
      </w:tr>
    </w:tbl>
    <w:p w14:paraId="08FB0791" w14:textId="62785034"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D34903" w:rsidRPr="00232395" w14:paraId="0A361669" w14:textId="77777777" w:rsidTr="009734BB">
        <w:trPr>
          <w:trHeight w:val="482"/>
        </w:trPr>
        <w:tc>
          <w:tcPr>
            <w:tcW w:w="8077" w:type="dxa"/>
            <w:shd w:val="clear" w:color="auto" w:fill="009FE3" w:themeFill="accent4"/>
            <w:vAlign w:val="center"/>
          </w:tcPr>
          <w:p w14:paraId="5625547E" w14:textId="23C023B2" w:rsidR="00D34903" w:rsidRPr="00232395" w:rsidRDefault="003A5D0D" w:rsidP="009734BB">
            <w:pPr>
              <w:rPr>
                <w:rFonts w:cs="Tahoma"/>
                <w:b/>
                <w:bCs/>
                <w:color w:val="FFFFFF" w:themeColor="background1"/>
                <w:szCs w:val="20"/>
                <w:lang w:eastAsia="en-US"/>
              </w:rPr>
            </w:pPr>
            <w:r>
              <w:rPr>
                <w:rFonts w:cs="Tahoma"/>
                <w:b/>
                <w:bCs/>
                <w:color w:val="FFFFFF" w:themeColor="background1"/>
                <w:szCs w:val="20"/>
                <w:lang w:eastAsia="en-US"/>
              </w:rPr>
              <w:t xml:space="preserve">4. </w:t>
            </w:r>
            <w:r w:rsidR="002D611D">
              <w:rPr>
                <w:rFonts w:cs="Tahoma"/>
                <w:b/>
                <w:bCs/>
                <w:color w:val="FFFFFF" w:themeColor="background1"/>
                <w:szCs w:val="20"/>
                <w:lang w:eastAsia="en-US"/>
              </w:rPr>
              <w:t>EnCF Action Plan Tracker</w:t>
            </w:r>
          </w:p>
        </w:tc>
        <w:tc>
          <w:tcPr>
            <w:tcW w:w="1701" w:type="dxa"/>
            <w:shd w:val="clear" w:color="auto" w:fill="009FE3" w:themeFill="accent4"/>
            <w:vAlign w:val="center"/>
          </w:tcPr>
          <w:p w14:paraId="712742AF" w14:textId="3A535F39" w:rsidR="00D34903" w:rsidRPr="00232395" w:rsidRDefault="002D611D" w:rsidP="009734BB">
            <w:pPr>
              <w:jc w:val="center"/>
              <w:rPr>
                <w:rFonts w:cs="Tahoma"/>
                <w:b/>
                <w:bCs/>
                <w:color w:val="FFFFFF" w:themeColor="background1"/>
                <w:szCs w:val="20"/>
                <w:lang w:eastAsia="en-US"/>
              </w:rPr>
            </w:pPr>
            <w:r>
              <w:rPr>
                <w:rFonts w:cs="Tahoma"/>
                <w:b/>
                <w:bCs/>
                <w:color w:val="FFFFFF" w:themeColor="background1"/>
                <w:szCs w:val="20"/>
                <w:lang w:eastAsia="en-US"/>
              </w:rPr>
              <w:t>JM</w:t>
            </w:r>
          </w:p>
        </w:tc>
      </w:tr>
      <w:tr w:rsidR="00D34903" w:rsidRPr="00232395" w14:paraId="0746D9DB" w14:textId="77777777" w:rsidTr="009734BB">
        <w:trPr>
          <w:trHeight w:val="482"/>
        </w:trPr>
        <w:tc>
          <w:tcPr>
            <w:tcW w:w="9778" w:type="dxa"/>
            <w:gridSpan w:val="2"/>
            <w:shd w:val="clear" w:color="auto" w:fill="E1F6FF"/>
            <w:vAlign w:val="center"/>
          </w:tcPr>
          <w:p w14:paraId="518F7516" w14:textId="77777777" w:rsidR="00D34903" w:rsidRDefault="00E50C22" w:rsidP="009734BB">
            <w:pPr>
              <w:rPr>
                <w:rFonts w:cs="Tahoma"/>
                <w:bCs/>
                <w:szCs w:val="20"/>
                <w:lang w:eastAsia="en-US"/>
              </w:rPr>
            </w:pPr>
            <w:r>
              <w:rPr>
                <w:rFonts w:cs="Tahoma"/>
                <w:bCs/>
                <w:szCs w:val="20"/>
                <w:lang w:eastAsia="en-US"/>
              </w:rPr>
              <w:t xml:space="preserve">CV Blips </w:t>
            </w:r>
            <w:r w:rsidR="00C91A59">
              <w:rPr>
                <w:rFonts w:cs="Tahoma"/>
                <w:bCs/>
                <w:szCs w:val="20"/>
                <w:lang w:eastAsia="en-US"/>
              </w:rPr>
              <w:t>–</w:t>
            </w:r>
            <w:r w:rsidR="00CB04E1">
              <w:rPr>
                <w:rFonts w:cs="Tahoma"/>
                <w:bCs/>
                <w:szCs w:val="20"/>
                <w:lang w:eastAsia="en-US"/>
              </w:rPr>
              <w:t xml:space="preserve"> </w:t>
            </w:r>
            <w:r w:rsidR="00A649A3">
              <w:rPr>
                <w:rFonts w:cs="Tahoma"/>
                <w:bCs/>
                <w:szCs w:val="20"/>
                <w:lang w:eastAsia="en-US"/>
              </w:rPr>
              <w:t>CS relayed update from the GECWTG</w:t>
            </w:r>
            <w:r w:rsidR="00D45BF5">
              <w:rPr>
                <w:rFonts w:cs="Tahoma"/>
                <w:bCs/>
                <w:szCs w:val="20"/>
                <w:lang w:eastAsia="en-US"/>
              </w:rPr>
              <w:t xml:space="preserve">, that gas networks </w:t>
            </w:r>
            <w:r w:rsidR="00373331">
              <w:rPr>
                <w:rFonts w:cs="Tahoma"/>
                <w:bCs/>
                <w:szCs w:val="20"/>
                <w:lang w:eastAsia="en-US"/>
              </w:rPr>
              <w:t xml:space="preserve">had agreed to </w:t>
            </w:r>
            <w:r w:rsidR="00373331" w:rsidRPr="00373331">
              <w:rPr>
                <w:rFonts w:cs="Tahoma"/>
                <w:bCs/>
                <w:i/>
                <w:iCs/>
                <w:szCs w:val="20"/>
                <w:lang w:eastAsia="en-US"/>
              </w:rPr>
              <w:t>permit</w:t>
            </w:r>
            <w:r w:rsidR="00373331">
              <w:rPr>
                <w:rFonts w:cs="Tahoma"/>
                <w:bCs/>
                <w:szCs w:val="20"/>
                <w:lang w:eastAsia="en-US"/>
              </w:rPr>
              <w:t xml:space="preserve"> RB’s proposed solution on site</w:t>
            </w:r>
            <w:r w:rsidR="00C97E64">
              <w:rPr>
                <w:rFonts w:cs="Tahoma"/>
                <w:bCs/>
                <w:szCs w:val="20"/>
                <w:lang w:eastAsia="en-US"/>
              </w:rPr>
              <w:t>s, with a targeted approach to problematic sites</w:t>
            </w:r>
            <w:r w:rsidR="00527427">
              <w:rPr>
                <w:rFonts w:cs="Tahoma"/>
                <w:bCs/>
                <w:szCs w:val="20"/>
                <w:lang w:eastAsia="en-US"/>
              </w:rPr>
              <w:t xml:space="preserve"> on which it would have the most benefit</w:t>
            </w:r>
            <w:r w:rsidR="00C97E64">
              <w:rPr>
                <w:rFonts w:cs="Tahoma"/>
                <w:bCs/>
                <w:szCs w:val="20"/>
                <w:lang w:eastAsia="en-US"/>
              </w:rPr>
              <w:t>.</w:t>
            </w:r>
            <w:r w:rsidR="00D1534C">
              <w:rPr>
                <w:rFonts w:cs="Tahoma"/>
                <w:bCs/>
                <w:szCs w:val="20"/>
                <w:lang w:eastAsia="en-US"/>
              </w:rPr>
              <w:t xml:space="preserve"> RB agreed with this approach. </w:t>
            </w:r>
            <w:r w:rsidR="00D45BF5" w:rsidRPr="001E5185">
              <w:rPr>
                <w:rFonts w:cs="Tahoma"/>
                <w:bCs/>
                <w:szCs w:val="20"/>
                <w:lang w:eastAsia="en-US"/>
              </w:rPr>
              <w:t>CL</w:t>
            </w:r>
            <w:r w:rsidR="00D45BF5">
              <w:rPr>
                <w:rFonts w:cs="Tahoma"/>
                <w:bCs/>
                <w:szCs w:val="20"/>
                <w:lang w:eastAsia="en-US"/>
              </w:rPr>
              <w:t xml:space="preserve"> </w:t>
            </w:r>
            <w:r w:rsidR="00D1534C">
              <w:rPr>
                <w:rFonts w:cs="Tahoma"/>
                <w:bCs/>
                <w:szCs w:val="20"/>
                <w:lang w:eastAsia="en-US"/>
              </w:rPr>
              <w:t>proposed</w:t>
            </w:r>
            <w:r w:rsidR="00D45BF5">
              <w:rPr>
                <w:rFonts w:cs="Tahoma"/>
                <w:bCs/>
                <w:szCs w:val="20"/>
                <w:lang w:eastAsia="en-US"/>
              </w:rPr>
              <w:t xml:space="preserve"> a candidate site on WWU’s network </w:t>
            </w:r>
            <w:r w:rsidR="00DC2AAC">
              <w:rPr>
                <w:rFonts w:cs="Tahoma"/>
                <w:bCs/>
                <w:szCs w:val="20"/>
                <w:lang w:eastAsia="en-US"/>
              </w:rPr>
              <w:t xml:space="preserve">on which to trial this </w:t>
            </w:r>
            <w:r w:rsidR="0043374F">
              <w:rPr>
                <w:rFonts w:cs="Tahoma"/>
                <w:bCs/>
                <w:szCs w:val="20"/>
                <w:lang w:eastAsia="en-US"/>
              </w:rPr>
              <w:t>solution once</w:t>
            </w:r>
            <w:r w:rsidR="00DC2AAC">
              <w:rPr>
                <w:rFonts w:cs="Tahoma"/>
                <w:bCs/>
                <w:szCs w:val="20"/>
                <w:lang w:eastAsia="en-US"/>
              </w:rPr>
              <w:t xml:space="preserve"> this had been agreed by the site (with added explanation from RB). WWU to then report back to the EnCF/GECTWG on this site.</w:t>
            </w:r>
            <w:r w:rsidR="0043374F">
              <w:rPr>
                <w:rFonts w:cs="Tahoma"/>
                <w:bCs/>
                <w:szCs w:val="20"/>
                <w:lang w:eastAsia="en-US"/>
              </w:rPr>
              <w:t xml:space="preserve"> RB </w:t>
            </w:r>
            <w:r w:rsidR="00F034EF">
              <w:rPr>
                <w:rFonts w:cs="Tahoma"/>
                <w:bCs/>
                <w:szCs w:val="20"/>
                <w:lang w:eastAsia="en-US"/>
              </w:rPr>
              <w:t xml:space="preserve">and CL </w:t>
            </w:r>
            <w:r w:rsidR="0043374F">
              <w:rPr>
                <w:rFonts w:cs="Tahoma"/>
                <w:bCs/>
                <w:szCs w:val="20"/>
                <w:lang w:eastAsia="en-US"/>
              </w:rPr>
              <w:t>added that it would be good to get the data from the “before</w:t>
            </w:r>
            <w:r w:rsidR="00F034EF">
              <w:rPr>
                <w:rFonts w:cs="Tahoma"/>
                <w:bCs/>
                <w:szCs w:val="20"/>
                <w:lang w:eastAsia="en-US"/>
              </w:rPr>
              <w:t xml:space="preserve"> picture</w:t>
            </w:r>
            <w:r w:rsidR="0043374F">
              <w:rPr>
                <w:rFonts w:cs="Tahoma"/>
                <w:bCs/>
                <w:szCs w:val="20"/>
                <w:lang w:eastAsia="en-US"/>
              </w:rPr>
              <w:t xml:space="preserve">” </w:t>
            </w:r>
            <w:r w:rsidR="00F034EF">
              <w:rPr>
                <w:rFonts w:cs="Tahoma"/>
                <w:bCs/>
                <w:szCs w:val="20"/>
                <w:lang w:eastAsia="en-US"/>
              </w:rPr>
              <w:t>of this site.</w:t>
            </w:r>
          </w:p>
          <w:p w14:paraId="76F8C60E" w14:textId="77777777" w:rsidR="00D17EC9" w:rsidRDefault="00D17EC9" w:rsidP="009734BB">
            <w:pPr>
              <w:rPr>
                <w:rFonts w:cs="Tahoma"/>
                <w:bCs/>
                <w:szCs w:val="20"/>
                <w:lang w:eastAsia="en-US"/>
              </w:rPr>
            </w:pPr>
          </w:p>
          <w:p w14:paraId="5559CE84" w14:textId="77777777" w:rsidR="00456C0B" w:rsidRDefault="00F034EF" w:rsidP="009734BB">
            <w:pPr>
              <w:rPr>
                <w:rFonts w:cs="Tahoma"/>
                <w:bCs/>
                <w:szCs w:val="20"/>
                <w:lang w:eastAsia="en-US"/>
              </w:rPr>
            </w:pPr>
            <w:r>
              <w:rPr>
                <w:rFonts w:cs="Tahoma"/>
                <w:bCs/>
                <w:szCs w:val="20"/>
                <w:lang w:eastAsia="en-US"/>
              </w:rPr>
              <w:t xml:space="preserve">Biomethane Blending – </w:t>
            </w:r>
            <w:r w:rsidR="00CD3928">
              <w:rPr>
                <w:rFonts w:cs="Tahoma"/>
                <w:bCs/>
                <w:szCs w:val="20"/>
                <w:lang w:eastAsia="en-US"/>
              </w:rPr>
              <w:t xml:space="preserve">SE relayed from JL that </w:t>
            </w:r>
            <w:r>
              <w:rPr>
                <w:rFonts w:cs="Tahoma"/>
                <w:bCs/>
                <w:szCs w:val="20"/>
                <w:lang w:eastAsia="en-US"/>
              </w:rPr>
              <w:t xml:space="preserve">further work </w:t>
            </w:r>
            <w:r w:rsidR="00CD3928">
              <w:rPr>
                <w:rFonts w:cs="Tahoma"/>
                <w:bCs/>
                <w:szCs w:val="20"/>
                <w:lang w:eastAsia="en-US"/>
              </w:rPr>
              <w:t xml:space="preserve">was </w:t>
            </w:r>
            <w:r>
              <w:rPr>
                <w:rFonts w:cs="Tahoma"/>
                <w:bCs/>
                <w:szCs w:val="20"/>
                <w:lang w:eastAsia="en-US"/>
              </w:rPr>
              <w:t xml:space="preserve">in place to include </w:t>
            </w:r>
            <w:r w:rsidR="00CD3928">
              <w:rPr>
                <w:rFonts w:cs="Tahoma"/>
                <w:bCs/>
                <w:szCs w:val="20"/>
                <w:lang w:eastAsia="en-US"/>
              </w:rPr>
              <w:t xml:space="preserve">installation </w:t>
            </w:r>
            <w:r>
              <w:rPr>
                <w:rFonts w:cs="Tahoma"/>
                <w:bCs/>
                <w:szCs w:val="20"/>
                <w:lang w:eastAsia="en-US"/>
              </w:rPr>
              <w:t xml:space="preserve">costs and </w:t>
            </w:r>
            <w:r w:rsidR="00456C0B">
              <w:rPr>
                <w:rFonts w:cs="Tahoma"/>
                <w:bCs/>
                <w:szCs w:val="20"/>
                <w:lang w:eastAsia="en-US"/>
              </w:rPr>
              <w:t xml:space="preserve">consider </w:t>
            </w:r>
            <w:r>
              <w:rPr>
                <w:rFonts w:cs="Tahoma"/>
                <w:bCs/>
                <w:szCs w:val="20"/>
                <w:lang w:eastAsia="en-US"/>
              </w:rPr>
              <w:t>site prioritisation</w:t>
            </w:r>
            <w:r w:rsidR="00CD3928">
              <w:rPr>
                <w:rFonts w:cs="Tahoma"/>
                <w:bCs/>
                <w:szCs w:val="20"/>
                <w:lang w:eastAsia="en-US"/>
              </w:rPr>
              <w:t xml:space="preserve"> </w:t>
            </w:r>
            <w:r w:rsidR="00A34F2A">
              <w:rPr>
                <w:rFonts w:cs="Tahoma"/>
                <w:bCs/>
                <w:szCs w:val="20"/>
                <w:lang w:eastAsia="en-US"/>
              </w:rPr>
              <w:t xml:space="preserve">in Cadent’s blending strategy </w:t>
            </w:r>
            <w:r w:rsidR="00CD3928">
              <w:rPr>
                <w:rFonts w:cs="Tahoma"/>
                <w:bCs/>
                <w:szCs w:val="20"/>
                <w:lang w:eastAsia="en-US"/>
              </w:rPr>
              <w:t>(i.e., dealing with multiple sites wanting to blend where there is limited capacity)</w:t>
            </w:r>
            <w:r w:rsidR="00456C0B">
              <w:rPr>
                <w:rFonts w:cs="Tahoma"/>
                <w:bCs/>
                <w:szCs w:val="20"/>
                <w:lang w:eastAsia="en-US"/>
              </w:rPr>
              <w:t>.</w:t>
            </w:r>
          </w:p>
          <w:p w14:paraId="77EE7488" w14:textId="77777777" w:rsidR="00D17EC9" w:rsidRDefault="00D17EC9" w:rsidP="009734BB">
            <w:pPr>
              <w:rPr>
                <w:rFonts w:cs="Tahoma"/>
                <w:bCs/>
                <w:szCs w:val="20"/>
                <w:lang w:eastAsia="en-US"/>
              </w:rPr>
            </w:pPr>
          </w:p>
          <w:p w14:paraId="767B5D1C" w14:textId="5D204F63" w:rsidR="004037F6" w:rsidRDefault="00A34F2A" w:rsidP="009734BB">
            <w:pPr>
              <w:rPr>
                <w:rFonts w:cs="Tahoma"/>
                <w:bCs/>
                <w:szCs w:val="20"/>
                <w:lang w:eastAsia="en-US"/>
              </w:rPr>
            </w:pPr>
            <w:r>
              <w:rPr>
                <w:rFonts w:cs="Tahoma"/>
                <w:bCs/>
                <w:szCs w:val="20"/>
                <w:lang w:eastAsia="en-US"/>
              </w:rPr>
              <w:t xml:space="preserve">SGS Issues – </w:t>
            </w:r>
            <w:r w:rsidR="000810D4">
              <w:rPr>
                <w:rFonts w:cs="Tahoma"/>
                <w:bCs/>
                <w:szCs w:val="20"/>
                <w:lang w:eastAsia="en-US"/>
              </w:rPr>
              <w:t xml:space="preserve">There had been a slight reduction in issues reported by Ofgem’s auditors since last quarter, but there were still </w:t>
            </w:r>
            <w:r w:rsidR="000D331F">
              <w:rPr>
                <w:rFonts w:cs="Tahoma"/>
                <w:bCs/>
                <w:szCs w:val="20"/>
                <w:lang w:eastAsia="en-US"/>
              </w:rPr>
              <w:t xml:space="preserve">issues being reported </w:t>
            </w:r>
            <w:r w:rsidR="00775892">
              <w:rPr>
                <w:rFonts w:cs="Tahoma"/>
                <w:bCs/>
                <w:szCs w:val="20"/>
                <w:lang w:eastAsia="en-US"/>
              </w:rPr>
              <w:t>in all categories</w:t>
            </w:r>
            <w:r w:rsidR="000D331F">
              <w:rPr>
                <w:rFonts w:cs="Tahoma"/>
                <w:bCs/>
                <w:szCs w:val="20"/>
                <w:lang w:eastAsia="en-US"/>
              </w:rPr>
              <w:t xml:space="preserve"> (cylinder changes, missing logbook entries, etc.).</w:t>
            </w:r>
            <w:r w:rsidR="00A747CA">
              <w:rPr>
                <w:rFonts w:cs="Tahoma"/>
                <w:bCs/>
                <w:szCs w:val="20"/>
                <w:lang w:eastAsia="en-US"/>
              </w:rPr>
              <w:t xml:space="preserve"> </w:t>
            </w:r>
            <w:r w:rsidR="006B6125">
              <w:rPr>
                <w:rFonts w:cs="Tahoma"/>
                <w:bCs/>
                <w:szCs w:val="20"/>
                <w:lang w:eastAsia="en-US"/>
              </w:rPr>
              <w:t>Generally</w:t>
            </w:r>
            <w:r w:rsidR="005D3AA4">
              <w:rPr>
                <w:rFonts w:cs="Tahoma"/>
                <w:bCs/>
                <w:szCs w:val="20"/>
                <w:lang w:eastAsia="en-US"/>
              </w:rPr>
              <w:t>,</w:t>
            </w:r>
            <w:r w:rsidR="006B6125">
              <w:rPr>
                <w:rFonts w:cs="Tahoma"/>
                <w:bCs/>
                <w:szCs w:val="20"/>
                <w:lang w:eastAsia="en-US"/>
              </w:rPr>
              <w:t xml:space="preserve"> these issues were dealt with on a </w:t>
            </w:r>
            <w:r w:rsidR="004448E1">
              <w:rPr>
                <w:rFonts w:cs="Tahoma"/>
                <w:bCs/>
                <w:szCs w:val="20"/>
                <w:lang w:eastAsia="en-US"/>
              </w:rPr>
              <w:t>site-by-site</w:t>
            </w:r>
            <w:r w:rsidR="006B6125">
              <w:rPr>
                <w:rFonts w:cs="Tahoma"/>
                <w:bCs/>
                <w:szCs w:val="20"/>
                <w:lang w:eastAsia="en-US"/>
              </w:rPr>
              <w:t xml:space="preserve"> basis (e.g., for especially problematic sites, those with significant staff changes) </w:t>
            </w:r>
            <w:r w:rsidR="004037F6">
              <w:rPr>
                <w:rFonts w:cs="Tahoma"/>
                <w:bCs/>
                <w:szCs w:val="20"/>
                <w:lang w:eastAsia="en-US"/>
              </w:rPr>
              <w:t xml:space="preserve">SE </w:t>
            </w:r>
            <w:r w:rsidR="006B30FC">
              <w:rPr>
                <w:rFonts w:cs="Tahoma"/>
                <w:bCs/>
                <w:szCs w:val="20"/>
                <w:lang w:eastAsia="en-US"/>
              </w:rPr>
              <w:t xml:space="preserve">suggested a more </w:t>
            </w:r>
            <w:r w:rsidR="00E568AF">
              <w:rPr>
                <w:rFonts w:cs="Tahoma"/>
                <w:bCs/>
                <w:szCs w:val="20"/>
                <w:lang w:eastAsia="en-US"/>
              </w:rPr>
              <w:t>sustainable solution (e.g., annual training</w:t>
            </w:r>
            <w:r w:rsidR="00932747">
              <w:rPr>
                <w:rFonts w:cs="Tahoma"/>
                <w:bCs/>
                <w:szCs w:val="20"/>
                <w:lang w:eastAsia="en-US"/>
              </w:rPr>
              <w:t xml:space="preserve"> / refresher </w:t>
            </w:r>
            <w:r w:rsidR="005D3AA4">
              <w:rPr>
                <w:rFonts w:cs="Tahoma"/>
                <w:bCs/>
                <w:szCs w:val="20"/>
                <w:lang w:eastAsia="en-US"/>
              </w:rPr>
              <w:t>course</w:t>
            </w:r>
            <w:r w:rsidR="00E568AF">
              <w:rPr>
                <w:rFonts w:cs="Tahoma"/>
                <w:bCs/>
                <w:szCs w:val="20"/>
                <w:lang w:eastAsia="en-US"/>
              </w:rPr>
              <w:t>) rather than dealing with issues on a reactive basis.</w:t>
            </w:r>
          </w:p>
          <w:p w14:paraId="7C3FB88D" w14:textId="7E1A167A" w:rsidR="004037F6" w:rsidRDefault="00C325C4" w:rsidP="009734BB">
            <w:pPr>
              <w:rPr>
                <w:rFonts w:cs="Tahoma"/>
                <w:b/>
                <w:szCs w:val="20"/>
                <w:lang w:eastAsia="en-US"/>
              </w:rPr>
            </w:pPr>
            <w:r w:rsidRPr="00932747">
              <w:rPr>
                <w:rFonts w:cs="Tahoma"/>
                <w:b/>
                <w:szCs w:val="20"/>
                <w:lang w:eastAsia="en-US"/>
              </w:rPr>
              <w:t xml:space="preserve">Action: GDNs to consider </w:t>
            </w:r>
            <w:r w:rsidR="00932747" w:rsidRPr="00932747">
              <w:rPr>
                <w:rFonts w:cs="Tahoma"/>
                <w:b/>
                <w:szCs w:val="20"/>
                <w:lang w:eastAsia="en-US"/>
              </w:rPr>
              <w:t>another review of SGS issues with biomethane operators and the letter of direction requirements.</w:t>
            </w:r>
          </w:p>
          <w:p w14:paraId="6FDB9EA3" w14:textId="77777777" w:rsidR="00D17EC9" w:rsidRPr="005D3AA4" w:rsidRDefault="00D17EC9" w:rsidP="009734BB">
            <w:pPr>
              <w:rPr>
                <w:rFonts w:cs="Tahoma"/>
                <w:b/>
                <w:szCs w:val="20"/>
                <w:lang w:eastAsia="en-US"/>
              </w:rPr>
            </w:pPr>
          </w:p>
          <w:p w14:paraId="4A2945F1" w14:textId="77777777" w:rsidR="00293BC3" w:rsidRDefault="00293BC3" w:rsidP="009734BB">
            <w:pPr>
              <w:rPr>
                <w:rFonts w:cs="Tahoma"/>
                <w:bCs/>
                <w:szCs w:val="20"/>
                <w:lang w:eastAsia="en-US"/>
              </w:rPr>
            </w:pPr>
            <w:r>
              <w:rPr>
                <w:rFonts w:cs="Tahoma"/>
                <w:bCs/>
                <w:szCs w:val="20"/>
                <w:lang w:eastAsia="en-US"/>
              </w:rPr>
              <w:t xml:space="preserve">Standardisation of ME2 – </w:t>
            </w:r>
            <w:r w:rsidR="009B3CC4">
              <w:rPr>
                <w:rFonts w:cs="Tahoma"/>
                <w:bCs/>
                <w:szCs w:val="20"/>
                <w:lang w:eastAsia="en-US"/>
              </w:rPr>
              <w:t>No update.</w:t>
            </w:r>
          </w:p>
          <w:p w14:paraId="28F84C7E" w14:textId="77777777" w:rsidR="00D17EC9" w:rsidRDefault="00D17EC9" w:rsidP="009734BB">
            <w:pPr>
              <w:rPr>
                <w:rFonts w:cs="Tahoma"/>
                <w:bCs/>
                <w:szCs w:val="20"/>
                <w:lang w:eastAsia="en-US"/>
              </w:rPr>
            </w:pPr>
          </w:p>
          <w:p w14:paraId="332B1417" w14:textId="77777777" w:rsidR="00C811D6" w:rsidRPr="004F48EE" w:rsidRDefault="0003707D" w:rsidP="007D2A3B">
            <w:pPr>
              <w:rPr>
                <w:rFonts w:cs="Tahoma"/>
                <w:bCs/>
                <w:szCs w:val="20"/>
                <w:lang w:eastAsia="en-US"/>
              </w:rPr>
            </w:pPr>
            <w:r>
              <w:rPr>
                <w:rFonts w:cs="Tahoma"/>
                <w:bCs/>
                <w:szCs w:val="20"/>
                <w:lang w:eastAsia="en-US"/>
              </w:rPr>
              <w:t>Operator Competence Accreditation – SB</w:t>
            </w:r>
            <w:r w:rsidR="00122A7B">
              <w:rPr>
                <w:rFonts w:cs="Tahoma"/>
                <w:bCs/>
                <w:szCs w:val="20"/>
                <w:lang w:eastAsia="en-US"/>
              </w:rPr>
              <w:t xml:space="preserve"> offered to </w:t>
            </w:r>
            <w:r w:rsidR="007D2A3B">
              <w:rPr>
                <w:rFonts w:cs="Tahoma"/>
                <w:bCs/>
                <w:szCs w:val="20"/>
                <w:lang w:eastAsia="en-US"/>
              </w:rPr>
              <w:t xml:space="preserve">follow up and </w:t>
            </w:r>
            <w:r w:rsidR="00122A7B">
              <w:rPr>
                <w:rFonts w:cs="Tahoma"/>
                <w:bCs/>
                <w:szCs w:val="20"/>
                <w:lang w:eastAsia="en-US"/>
              </w:rPr>
              <w:t>report back separately</w:t>
            </w:r>
            <w:r w:rsidR="00C811D6">
              <w:rPr>
                <w:rFonts w:cs="Tahoma"/>
                <w:bCs/>
                <w:szCs w:val="20"/>
                <w:lang w:eastAsia="en-US"/>
              </w:rPr>
              <w:t xml:space="preserve"> if there </w:t>
            </w:r>
            <w:r w:rsidR="007D2A3B">
              <w:rPr>
                <w:rFonts w:cs="Tahoma"/>
                <w:bCs/>
                <w:szCs w:val="20"/>
                <w:lang w:eastAsia="en-US"/>
              </w:rPr>
              <w:t>was</w:t>
            </w:r>
            <w:r w:rsidR="00C811D6">
              <w:rPr>
                <w:rFonts w:cs="Tahoma"/>
                <w:bCs/>
                <w:szCs w:val="20"/>
                <w:lang w:eastAsia="en-US"/>
              </w:rPr>
              <w:t xml:space="preserve"> appetite</w:t>
            </w:r>
            <w:r w:rsidR="007D2A3B">
              <w:rPr>
                <w:rFonts w:cs="Tahoma"/>
                <w:bCs/>
                <w:szCs w:val="20"/>
                <w:lang w:eastAsia="en-US"/>
              </w:rPr>
              <w:t xml:space="preserve"> within REA to pick up this workstream / </w:t>
            </w:r>
            <w:r w:rsidR="00C811D6">
              <w:rPr>
                <w:rFonts w:cs="Tahoma"/>
                <w:bCs/>
                <w:szCs w:val="20"/>
                <w:lang w:eastAsia="en-US"/>
              </w:rPr>
              <w:t>any route to establishing a scheme</w:t>
            </w:r>
            <w:r w:rsidR="007D2A3B">
              <w:rPr>
                <w:rFonts w:cs="Tahoma"/>
                <w:bCs/>
                <w:szCs w:val="20"/>
                <w:lang w:eastAsia="en-US"/>
              </w:rPr>
              <w:t xml:space="preserve">, in line with the </w:t>
            </w:r>
            <w:r w:rsidR="007D2A3B" w:rsidRPr="004F48EE">
              <w:rPr>
                <w:rFonts w:cs="Tahoma"/>
                <w:bCs/>
                <w:szCs w:val="20"/>
                <w:lang w:eastAsia="en-US"/>
              </w:rPr>
              <w:t xml:space="preserve">compliance-based accreditations that REA already conduct. </w:t>
            </w:r>
          </w:p>
          <w:p w14:paraId="5B6FC8B0" w14:textId="77777777" w:rsidR="007D2A3B" w:rsidRDefault="004F48EE" w:rsidP="007D2A3B">
            <w:pPr>
              <w:rPr>
                <w:rFonts w:cs="Tahoma"/>
                <w:b/>
                <w:szCs w:val="20"/>
                <w:lang w:eastAsia="en-US"/>
              </w:rPr>
            </w:pPr>
            <w:r w:rsidRPr="004F48EE">
              <w:rPr>
                <w:rFonts w:cs="Tahoma"/>
                <w:b/>
                <w:szCs w:val="20"/>
                <w:lang w:eastAsia="en-US"/>
              </w:rPr>
              <w:t>Action: SB to follow up within REA on picking up the Operator Competence Accreditation workstream.</w:t>
            </w:r>
          </w:p>
          <w:p w14:paraId="5FB91907" w14:textId="77777777" w:rsidR="00D17EC9" w:rsidRPr="004F48EE" w:rsidRDefault="00D17EC9" w:rsidP="007D2A3B">
            <w:pPr>
              <w:rPr>
                <w:rFonts w:cs="Tahoma"/>
                <w:b/>
                <w:szCs w:val="20"/>
                <w:lang w:eastAsia="en-US"/>
              </w:rPr>
            </w:pPr>
          </w:p>
          <w:p w14:paraId="65FEC23B" w14:textId="462E20D2" w:rsidR="00B30157" w:rsidRDefault="005F1CD1" w:rsidP="00A236F8">
            <w:pPr>
              <w:rPr>
                <w:rFonts w:cs="Tahoma"/>
                <w:bCs/>
                <w:szCs w:val="20"/>
                <w:lang w:eastAsia="en-US"/>
              </w:rPr>
            </w:pPr>
            <w:r>
              <w:rPr>
                <w:rFonts w:cs="Tahoma"/>
                <w:bCs/>
                <w:szCs w:val="20"/>
                <w:lang w:eastAsia="en-US"/>
              </w:rPr>
              <w:t xml:space="preserve">Standardisation of Capacity Studies – </w:t>
            </w:r>
            <w:r w:rsidR="00F50052">
              <w:rPr>
                <w:rFonts w:cs="Tahoma"/>
                <w:bCs/>
                <w:szCs w:val="20"/>
                <w:lang w:eastAsia="en-US"/>
              </w:rPr>
              <w:t>GDN</w:t>
            </w:r>
            <w:r w:rsidR="00497E4D">
              <w:rPr>
                <w:rFonts w:cs="Tahoma"/>
                <w:bCs/>
                <w:szCs w:val="20"/>
                <w:lang w:eastAsia="en-US"/>
              </w:rPr>
              <w:t xml:space="preserve"> Analysis Teams </w:t>
            </w:r>
            <w:r w:rsidR="00F50052">
              <w:rPr>
                <w:rFonts w:cs="Tahoma"/>
                <w:bCs/>
                <w:szCs w:val="20"/>
                <w:lang w:eastAsia="en-US"/>
              </w:rPr>
              <w:t xml:space="preserve">had reviewed </w:t>
            </w:r>
            <w:r w:rsidR="00497E4D">
              <w:rPr>
                <w:rFonts w:cs="Tahoma"/>
                <w:bCs/>
                <w:szCs w:val="20"/>
                <w:lang w:eastAsia="en-US"/>
              </w:rPr>
              <w:t xml:space="preserve">and agreed upon </w:t>
            </w:r>
            <w:r w:rsidR="00F50052">
              <w:rPr>
                <w:rFonts w:cs="Tahoma"/>
                <w:bCs/>
                <w:szCs w:val="20"/>
                <w:lang w:eastAsia="en-US"/>
              </w:rPr>
              <w:t xml:space="preserve">the </w:t>
            </w:r>
            <w:hyperlink r:id="rId16" w:history="1">
              <w:r w:rsidR="00F50052" w:rsidRPr="006C541A">
                <w:rPr>
                  <w:rStyle w:val="Hyperlink"/>
                  <w:rFonts w:cs="Tahoma"/>
                  <w:bCs/>
                  <w:szCs w:val="20"/>
                  <w:lang w:eastAsia="en-US"/>
                </w:rPr>
                <w:t>standard</w:t>
              </w:r>
              <w:r w:rsidR="00497E4D" w:rsidRPr="006C541A">
                <w:rPr>
                  <w:rStyle w:val="Hyperlink"/>
                  <w:rFonts w:cs="Tahoma"/>
                  <w:bCs/>
                  <w:szCs w:val="20"/>
                  <w:lang w:eastAsia="en-US"/>
                </w:rPr>
                <w:t xml:space="preserve"> </w:t>
              </w:r>
              <w:r w:rsidR="00F50052" w:rsidRPr="006C541A">
                <w:rPr>
                  <w:rStyle w:val="Hyperlink"/>
                  <w:rFonts w:cs="Tahoma"/>
                  <w:bCs/>
                  <w:szCs w:val="20"/>
                  <w:lang w:eastAsia="en-US"/>
                </w:rPr>
                <w:t>template</w:t>
              </w:r>
            </w:hyperlink>
            <w:r w:rsidR="00497E4D">
              <w:rPr>
                <w:rFonts w:cs="Tahoma"/>
                <w:bCs/>
                <w:szCs w:val="20"/>
                <w:lang w:eastAsia="en-US"/>
              </w:rPr>
              <w:t>.</w:t>
            </w:r>
            <w:r w:rsidR="00F311EC">
              <w:rPr>
                <w:rFonts w:cs="Tahoma"/>
                <w:bCs/>
                <w:szCs w:val="20"/>
                <w:lang w:eastAsia="en-US"/>
              </w:rPr>
              <w:t xml:space="preserve"> </w:t>
            </w:r>
            <w:r w:rsidR="00D17EC9">
              <w:rPr>
                <w:rFonts w:cs="Tahoma"/>
                <w:bCs/>
                <w:szCs w:val="20"/>
                <w:lang w:eastAsia="en-US"/>
              </w:rPr>
              <w:t>Note that</w:t>
            </w:r>
            <w:r w:rsidR="00A236F8">
              <w:rPr>
                <w:rFonts w:cs="Tahoma"/>
                <w:bCs/>
                <w:szCs w:val="20"/>
                <w:lang w:eastAsia="en-US"/>
              </w:rPr>
              <w:t xml:space="preserve"> t</w:t>
            </w:r>
            <w:r w:rsidR="00D17EC9">
              <w:rPr>
                <w:rFonts w:cs="Tahoma"/>
                <w:bCs/>
                <w:szCs w:val="20"/>
                <w:lang w:eastAsia="en-US"/>
              </w:rPr>
              <w:t>he branding</w:t>
            </w:r>
            <w:r w:rsidR="005B4D45">
              <w:rPr>
                <w:rFonts w:cs="Tahoma"/>
                <w:bCs/>
                <w:szCs w:val="20"/>
                <w:lang w:eastAsia="en-US"/>
              </w:rPr>
              <w:t xml:space="preserve"> and T&amp;Cs</w:t>
            </w:r>
            <w:r w:rsidR="00D17EC9">
              <w:rPr>
                <w:rFonts w:cs="Tahoma"/>
                <w:bCs/>
                <w:szCs w:val="20"/>
                <w:lang w:eastAsia="en-US"/>
              </w:rPr>
              <w:t xml:space="preserve"> on the example </w:t>
            </w:r>
            <w:r w:rsidR="006C541A">
              <w:rPr>
                <w:rFonts w:cs="Tahoma"/>
                <w:bCs/>
                <w:szCs w:val="20"/>
                <w:lang w:eastAsia="en-US"/>
              </w:rPr>
              <w:t>were</w:t>
            </w:r>
            <w:r w:rsidR="00D17EC9">
              <w:rPr>
                <w:rFonts w:cs="Tahoma"/>
                <w:bCs/>
                <w:szCs w:val="20"/>
                <w:lang w:eastAsia="en-US"/>
              </w:rPr>
              <w:t xml:space="preserve"> from WWU</w:t>
            </w:r>
            <w:r w:rsidR="006C541A">
              <w:rPr>
                <w:rFonts w:cs="Tahoma"/>
                <w:bCs/>
                <w:szCs w:val="20"/>
                <w:lang w:eastAsia="en-US"/>
              </w:rPr>
              <w:t>,</w:t>
            </w:r>
            <w:r w:rsidR="00D17EC9">
              <w:rPr>
                <w:rFonts w:cs="Tahoma"/>
                <w:bCs/>
                <w:szCs w:val="20"/>
                <w:lang w:eastAsia="en-US"/>
              </w:rPr>
              <w:t xml:space="preserve"> </w:t>
            </w:r>
            <w:r w:rsidR="006C541A">
              <w:rPr>
                <w:rFonts w:cs="Tahoma"/>
                <w:bCs/>
                <w:szCs w:val="20"/>
                <w:lang w:eastAsia="en-US"/>
              </w:rPr>
              <w:t>and</w:t>
            </w:r>
            <w:r w:rsidR="00D17EC9">
              <w:rPr>
                <w:rFonts w:cs="Tahoma"/>
                <w:bCs/>
                <w:szCs w:val="20"/>
                <w:lang w:eastAsia="en-US"/>
              </w:rPr>
              <w:t xml:space="preserve"> this would differ by network</w:t>
            </w:r>
            <w:r w:rsidR="00211DF4">
              <w:rPr>
                <w:rFonts w:cs="Tahoma"/>
                <w:bCs/>
                <w:szCs w:val="20"/>
                <w:lang w:eastAsia="en-US"/>
              </w:rPr>
              <w:t>; some sections could be removed or added depending on who the analysis was for and what they asked for.</w:t>
            </w:r>
            <w:r w:rsidR="007E6308">
              <w:rPr>
                <w:rFonts w:cs="Tahoma"/>
                <w:bCs/>
                <w:szCs w:val="20"/>
                <w:lang w:eastAsia="en-US"/>
              </w:rPr>
              <w:t xml:space="preserve"> </w:t>
            </w:r>
            <w:r w:rsidR="00A36C0E">
              <w:rPr>
                <w:rFonts w:cs="Tahoma"/>
                <w:bCs/>
                <w:szCs w:val="20"/>
                <w:lang w:eastAsia="en-US"/>
              </w:rPr>
              <w:t>CM</w:t>
            </w:r>
            <w:r w:rsidR="009A0CDD">
              <w:rPr>
                <w:rFonts w:cs="Tahoma"/>
                <w:bCs/>
                <w:szCs w:val="20"/>
                <w:lang w:eastAsia="en-US"/>
              </w:rPr>
              <w:t xml:space="preserve"> queried including </w:t>
            </w:r>
            <w:r w:rsidR="00620230">
              <w:rPr>
                <w:rFonts w:cs="Tahoma"/>
                <w:bCs/>
                <w:szCs w:val="20"/>
                <w:lang w:eastAsia="en-US"/>
              </w:rPr>
              <w:t xml:space="preserve">(potential/indicative) </w:t>
            </w:r>
            <w:r w:rsidR="009A0CDD">
              <w:rPr>
                <w:rFonts w:cs="Tahoma"/>
                <w:bCs/>
                <w:szCs w:val="20"/>
                <w:lang w:eastAsia="en-US"/>
              </w:rPr>
              <w:t>entry/connections costs to the document</w:t>
            </w:r>
            <w:r w:rsidR="00C94233">
              <w:rPr>
                <w:rFonts w:cs="Tahoma"/>
                <w:bCs/>
                <w:szCs w:val="20"/>
                <w:lang w:eastAsia="en-US"/>
              </w:rPr>
              <w:t>; CL explained that this would usually be a separate quotation</w:t>
            </w:r>
            <w:r w:rsidR="007E6308">
              <w:rPr>
                <w:rFonts w:cs="Tahoma"/>
                <w:bCs/>
                <w:szCs w:val="20"/>
                <w:lang w:eastAsia="en-US"/>
              </w:rPr>
              <w:t>, and the DAS only covered the available capacity. JM added that each GDN has their own connections costs</w:t>
            </w:r>
            <w:r w:rsidR="00A01A37">
              <w:rPr>
                <w:rFonts w:cs="Tahoma"/>
                <w:bCs/>
                <w:szCs w:val="20"/>
                <w:lang w:eastAsia="en-US"/>
              </w:rPr>
              <w:t xml:space="preserve">, which are subject to change. </w:t>
            </w:r>
            <w:r w:rsidR="00BF5EA8">
              <w:rPr>
                <w:rFonts w:cs="Tahoma"/>
                <w:bCs/>
                <w:szCs w:val="20"/>
                <w:lang w:eastAsia="en-US"/>
              </w:rPr>
              <w:t>On the cost</w:t>
            </w:r>
            <w:r w:rsidR="00A01A37">
              <w:rPr>
                <w:rFonts w:cs="Tahoma"/>
                <w:bCs/>
                <w:szCs w:val="20"/>
                <w:lang w:eastAsia="en-US"/>
              </w:rPr>
              <w:t xml:space="preserve"> of connecting </w:t>
            </w:r>
            <w:r w:rsidR="00A01A37" w:rsidRPr="00BF5EA8">
              <w:rPr>
                <w:rFonts w:cs="Tahoma"/>
                <w:bCs/>
                <w:szCs w:val="20"/>
                <w:lang w:eastAsia="en-US"/>
              </w:rPr>
              <w:t>pipe</w:t>
            </w:r>
            <w:r w:rsidR="00BF5EA8">
              <w:rPr>
                <w:rFonts w:cs="Tahoma"/>
                <w:bCs/>
                <w:szCs w:val="20"/>
                <w:lang w:eastAsia="en-US"/>
              </w:rPr>
              <w:t>work,</w:t>
            </w:r>
            <w:r w:rsidR="00A01A37">
              <w:rPr>
                <w:rFonts w:cs="Tahoma"/>
                <w:bCs/>
                <w:szCs w:val="20"/>
                <w:lang w:eastAsia="en-US"/>
              </w:rPr>
              <w:t xml:space="preserve"> most DFOs contract with a UIP </w:t>
            </w:r>
            <w:r w:rsidR="00BF5EA8">
              <w:rPr>
                <w:rFonts w:cs="Tahoma"/>
                <w:bCs/>
                <w:szCs w:val="20"/>
                <w:lang w:eastAsia="en-US"/>
              </w:rPr>
              <w:t>(&lt;7 bar)</w:t>
            </w:r>
            <w:r w:rsidR="00D34DF0">
              <w:rPr>
                <w:rFonts w:cs="Tahoma"/>
                <w:bCs/>
                <w:szCs w:val="20"/>
                <w:lang w:eastAsia="en-US"/>
              </w:rPr>
              <w:t xml:space="preserve"> and can obtain a quote there.</w:t>
            </w:r>
          </w:p>
          <w:p w14:paraId="0DE84A84" w14:textId="1F47FBD0" w:rsidR="00BF0F7C" w:rsidRDefault="00BE526C" w:rsidP="00A236F8">
            <w:pPr>
              <w:rPr>
                <w:rFonts w:cs="Tahoma"/>
                <w:bCs/>
                <w:szCs w:val="20"/>
                <w:lang w:eastAsia="en-US"/>
              </w:rPr>
            </w:pPr>
            <w:r>
              <w:rPr>
                <w:rFonts w:cs="Tahoma"/>
                <w:bCs/>
                <w:szCs w:val="20"/>
                <w:lang w:eastAsia="en-US"/>
              </w:rPr>
              <w:t>AB queried the inclusion of (volumetric) flow rate across the connection point</w:t>
            </w:r>
            <w:r w:rsidR="00B30157">
              <w:rPr>
                <w:rFonts w:cs="Tahoma"/>
                <w:bCs/>
                <w:szCs w:val="20"/>
                <w:lang w:eastAsia="en-US"/>
              </w:rPr>
              <w:t xml:space="preserve"> to work out </w:t>
            </w:r>
            <w:r w:rsidR="0056102F">
              <w:rPr>
                <w:rFonts w:cs="Tahoma"/>
                <w:bCs/>
                <w:szCs w:val="20"/>
                <w:lang w:eastAsia="en-US"/>
              </w:rPr>
              <w:t>feasibility of blending to mitigate propane</w:t>
            </w:r>
            <w:r w:rsidR="00B30157">
              <w:rPr>
                <w:rFonts w:cs="Tahoma"/>
                <w:bCs/>
                <w:szCs w:val="20"/>
                <w:lang w:eastAsia="en-US"/>
              </w:rPr>
              <w:t>. CL reiterated that</w:t>
            </w:r>
            <w:r w:rsidR="000C0502">
              <w:rPr>
                <w:rFonts w:cs="Tahoma"/>
                <w:bCs/>
                <w:szCs w:val="20"/>
                <w:lang w:eastAsia="en-US"/>
              </w:rPr>
              <w:t>, at a high level,</w:t>
            </w:r>
            <w:r w:rsidR="00B30157">
              <w:rPr>
                <w:rFonts w:cs="Tahoma"/>
                <w:bCs/>
                <w:szCs w:val="20"/>
                <w:lang w:eastAsia="en-US"/>
              </w:rPr>
              <w:t xml:space="preserve"> </w:t>
            </w:r>
            <w:r w:rsidR="00471C2C" w:rsidRPr="000C0502">
              <w:rPr>
                <w:rFonts w:cs="Tahoma"/>
                <w:bCs/>
                <w:i/>
                <w:iCs/>
                <w:szCs w:val="20"/>
                <w:lang w:eastAsia="en-US"/>
              </w:rPr>
              <w:t>blending potential</w:t>
            </w:r>
            <w:r w:rsidR="00B30157">
              <w:rPr>
                <w:rFonts w:cs="Tahoma"/>
                <w:bCs/>
                <w:szCs w:val="20"/>
                <w:lang w:eastAsia="en-US"/>
              </w:rPr>
              <w:t xml:space="preserve"> w</w:t>
            </w:r>
            <w:r w:rsidR="00471C2C">
              <w:rPr>
                <w:rFonts w:cs="Tahoma"/>
                <w:bCs/>
                <w:szCs w:val="20"/>
                <w:lang w:eastAsia="en-US"/>
              </w:rPr>
              <w:t>ould be</w:t>
            </w:r>
            <w:r w:rsidR="00B30157">
              <w:rPr>
                <w:rFonts w:cs="Tahoma"/>
                <w:bCs/>
                <w:szCs w:val="20"/>
                <w:lang w:eastAsia="en-US"/>
              </w:rPr>
              <w:t xml:space="preserve"> referenced in </w:t>
            </w:r>
            <w:r w:rsidR="00B30157" w:rsidRPr="00F0755E">
              <w:rPr>
                <w:rFonts w:cs="Tahoma"/>
                <w:bCs/>
                <w:i/>
                <w:iCs/>
                <w:szCs w:val="20"/>
                <w:lang w:eastAsia="en-US"/>
              </w:rPr>
              <w:t>Section 7.</w:t>
            </w:r>
            <w:r w:rsidR="00F0755E" w:rsidRPr="00F0755E">
              <w:rPr>
                <w:rFonts w:cs="Tahoma"/>
                <w:bCs/>
                <w:i/>
                <w:iCs/>
                <w:szCs w:val="20"/>
                <w:lang w:eastAsia="en-US"/>
              </w:rPr>
              <w:t xml:space="preserve"> Options for Enhancing Capacity/Reducing Costs</w:t>
            </w:r>
            <w:r w:rsidR="00320C69">
              <w:rPr>
                <w:rFonts w:cs="Tahoma"/>
                <w:bCs/>
                <w:i/>
                <w:iCs/>
                <w:szCs w:val="20"/>
                <w:lang w:eastAsia="en-US"/>
              </w:rPr>
              <w:t>.</w:t>
            </w:r>
            <w:r w:rsidR="00320C69" w:rsidRPr="00320C69">
              <w:rPr>
                <w:rFonts w:cs="Tahoma"/>
                <w:bCs/>
                <w:szCs w:val="20"/>
                <w:lang w:eastAsia="en-US"/>
              </w:rPr>
              <w:t xml:space="preserve"> I</w:t>
            </w:r>
            <w:r w:rsidR="000C0502">
              <w:rPr>
                <w:rFonts w:cs="Tahoma"/>
                <w:bCs/>
                <w:szCs w:val="20"/>
                <w:lang w:eastAsia="en-US"/>
              </w:rPr>
              <w:t xml:space="preserve">f there was scope for blending, </w:t>
            </w:r>
            <w:r w:rsidR="00471C2C">
              <w:rPr>
                <w:rFonts w:cs="Tahoma"/>
                <w:bCs/>
                <w:szCs w:val="20"/>
                <w:lang w:eastAsia="en-US"/>
              </w:rPr>
              <w:t>a separate blending study would need to be requested</w:t>
            </w:r>
            <w:r w:rsidR="00ED3A15">
              <w:rPr>
                <w:rFonts w:cs="Tahoma"/>
                <w:bCs/>
                <w:szCs w:val="20"/>
                <w:lang w:eastAsia="en-US"/>
              </w:rPr>
              <w:t xml:space="preserve"> to get into the detail.</w:t>
            </w:r>
          </w:p>
          <w:p w14:paraId="61E85A2C" w14:textId="77777777" w:rsidR="00A36C0E" w:rsidRDefault="007E6308" w:rsidP="00A236F8">
            <w:pPr>
              <w:rPr>
                <w:rFonts w:cs="Tahoma"/>
                <w:b/>
                <w:szCs w:val="20"/>
                <w:lang w:eastAsia="en-US"/>
              </w:rPr>
            </w:pPr>
            <w:r w:rsidRPr="00320C69">
              <w:rPr>
                <w:rFonts w:cs="Tahoma"/>
                <w:b/>
                <w:szCs w:val="20"/>
                <w:lang w:eastAsia="en-US"/>
              </w:rPr>
              <w:t>Action</w:t>
            </w:r>
            <w:r w:rsidR="00620230" w:rsidRPr="00320C69">
              <w:rPr>
                <w:rFonts w:cs="Tahoma"/>
                <w:b/>
                <w:szCs w:val="20"/>
                <w:lang w:eastAsia="en-US"/>
              </w:rPr>
              <w:t xml:space="preserve">: GDNs to discuss whether it would be appropriate to </w:t>
            </w:r>
            <w:r w:rsidR="00D34DF0" w:rsidRPr="00320C69">
              <w:rPr>
                <w:rFonts w:cs="Tahoma"/>
                <w:b/>
                <w:szCs w:val="20"/>
                <w:lang w:eastAsia="en-US"/>
              </w:rPr>
              <w:t>include indicative costs in the capacity study</w:t>
            </w:r>
            <w:r w:rsidR="00BE526C" w:rsidRPr="00320C69">
              <w:rPr>
                <w:rFonts w:cs="Tahoma"/>
                <w:b/>
                <w:szCs w:val="20"/>
                <w:lang w:eastAsia="en-US"/>
              </w:rPr>
              <w:t xml:space="preserve"> template.</w:t>
            </w:r>
            <w:r w:rsidR="00320C69">
              <w:rPr>
                <w:rFonts w:cs="Tahoma"/>
                <w:b/>
                <w:szCs w:val="20"/>
                <w:lang w:eastAsia="en-US"/>
              </w:rPr>
              <w:t xml:space="preserve"> GDNs to then establish a date</w:t>
            </w:r>
            <w:r w:rsidR="001E2A02">
              <w:rPr>
                <w:rFonts w:cs="Tahoma"/>
                <w:b/>
                <w:szCs w:val="20"/>
                <w:lang w:eastAsia="en-US"/>
              </w:rPr>
              <w:t xml:space="preserve"> from which to start using the new document.</w:t>
            </w:r>
          </w:p>
          <w:p w14:paraId="412E136B" w14:textId="77777777" w:rsidR="001E2A02" w:rsidRDefault="001E2A02" w:rsidP="00A236F8">
            <w:pPr>
              <w:rPr>
                <w:rFonts w:cs="Tahoma"/>
                <w:bCs/>
                <w:szCs w:val="20"/>
                <w:lang w:eastAsia="en-US"/>
              </w:rPr>
            </w:pPr>
          </w:p>
          <w:p w14:paraId="69C1C012" w14:textId="77777777" w:rsidR="001E2A02" w:rsidRDefault="001E2A02" w:rsidP="00A236F8">
            <w:pPr>
              <w:rPr>
                <w:rFonts w:cs="Tahoma"/>
                <w:bCs/>
                <w:szCs w:val="20"/>
                <w:lang w:eastAsia="en-US"/>
              </w:rPr>
            </w:pPr>
            <w:r>
              <w:rPr>
                <w:rFonts w:cs="Tahoma"/>
                <w:bCs/>
                <w:szCs w:val="20"/>
                <w:lang w:eastAsia="en-US"/>
              </w:rPr>
              <w:t xml:space="preserve">In-Grid Compression – </w:t>
            </w:r>
            <w:r w:rsidR="009339AF">
              <w:rPr>
                <w:rFonts w:cs="Tahoma"/>
                <w:bCs/>
                <w:szCs w:val="20"/>
                <w:lang w:eastAsia="en-US"/>
              </w:rPr>
              <w:t xml:space="preserve">AC updated </w:t>
            </w:r>
            <w:r w:rsidR="00EC2A3F">
              <w:rPr>
                <w:rFonts w:cs="Tahoma"/>
                <w:bCs/>
                <w:szCs w:val="20"/>
                <w:lang w:eastAsia="en-US"/>
              </w:rPr>
              <w:t xml:space="preserve">the decision from Ofgem on UNC Mod 808 was pending. Another compressor </w:t>
            </w:r>
            <w:r w:rsidR="00FE58CF">
              <w:rPr>
                <w:rFonts w:cs="Tahoma"/>
                <w:bCs/>
                <w:szCs w:val="20"/>
                <w:lang w:eastAsia="en-US"/>
              </w:rPr>
              <w:t xml:space="preserve">project </w:t>
            </w:r>
            <w:r w:rsidR="00EC2A3F">
              <w:rPr>
                <w:rFonts w:cs="Tahoma"/>
                <w:bCs/>
                <w:szCs w:val="20"/>
                <w:lang w:eastAsia="en-US"/>
              </w:rPr>
              <w:t xml:space="preserve">was in the works </w:t>
            </w:r>
            <w:r w:rsidR="00FE58CF">
              <w:rPr>
                <w:rFonts w:cs="Tahoma"/>
                <w:bCs/>
                <w:szCs w:val="20"/>
                <w:lang w:eastAsia="en-US"/>
              </w:rPr>
              <w:t>with WWU</w:t>
            </w:r>
            <w:r w:rsidR="00EC2A3F">
              <w:rPr>
                <w:rFonts w:cs="Tahoma"/>
                <w:bCs/>
                <w:szCs w:val="20"/>
                <w:lang w:eastAsia="en-US"/>
              </w:rPr>
              <w:t xml:space="preserve">, </w:t>
            </w:r>
            <w:r w:rsidR="009339AF">
              <w:rPr>
                <w:rFonts w:cs="Tahoma"/>
                <w:bCs/>
                <w:szCs w:val="20"/>
                <w:lang w:eastAsia="en-US"/>
              </w:rPr>
              <w:t>hoping to go live end of March 2024</w:t>
            </w:r>
            <w:r w:rsidR="00EC2A3F">
              <w:rPr>
                <w:rFonts w:cs="Tahoma"/>
                <w:bCs/>
                <w:szCs w:val="20"/>
                <w:lang w:eastAsia="en-US"/>
              </w:rPr>
              <w:t xml:space="preserve"> (c.12</w:t>
            </w:r>
            <w:r w:rsidR="00AF6C49">
              <w:rPr>
                <w:rFonts w:cs="Tahoma"/>
                <w:bCs/>
                <w:szCs w:val="20"/>
                <w:lang w:eastAsia="en-US"/>
              </w:rPr>
              <w:t xml:space="preserve"> to18-month</w:t>
            </w:r>
            <w:r w:rsidR="00EC2A3F">
              <w:rPr>
                <w:rFonts w:cs="Tahoma"/>
                <w:bCs/>
                <w:szCs w:val="20"/>
                <w:lang w:eastAsia="en-US"/>
              </w:rPr>
              <w:t xml:space="preserve"> timeframe)</w:t>
            </w:r>
            <w:r w:rsidR="00DD50B7">
              <w:rPr>
                <w:rFonts w:cs="Tahoma"/>
                <w:bCs/>
                <w:szCs w:val="20"/>
                <w:lang w:eastAsia="en-US"/>
              </w:rPr>
              <w:t>. SE updated that Cadent were in the process of commissioning their compressor at Doncaster.</w:t>
            </w:r>
          </w:p>
          <w:p w14:paraId="1393E977" w14:textId="77777777" w:rsidR="00AF6C49" w:rsidRDefault="00AF6C49" w:rsidP="00A236F8">
            <w:pPr>
              <w:rPr>
                <w:rFonts w:cs="Tahoma"/>
                <w:bCs/>
                <w:szCs w:val="20"/>
                <w:lang w:eastAsia="en-US"/>
              </w:rPr>
            </w:pPr>
          </w:p>
          <w:p w14:paraId="07512129" w14:textId="77777777" w:rsidR="00AF6C49" w:rsidRDefault="00AF6C49" w:rsidP="00A236F8">
            <w:pPr>
              <w:rPr>
                <w:rFonts w:cs="Tahoma"/>
                <w:bCs/>
                <w:szCs w:val="20"/>
                <w:lang w:eastAsia="en-US"/>
              </w:rPr>
            </w:pPr>
            <w:r>
              <w:rPr>
                <w:rFonts w:cs="Tahoma"/>
                <w:bCs/>
                <w:szCs w:val="20"/>
                <w:lang w:eastAsia="en-US"/>
              </w:rPr>
              <w:t>Capacity/Low Flow through NTS Meters –</w:t>
            </w:r>
            <w:r w:rsidR="00314A81">
              <w:rPr>
                <w:rFonts w:cs="Tahoma"/>
                <w:bCs/>
                <w:szCs w:val="20"/>
                <w:lang w:eastAsia="en-US"/>
              </w:rPr>
              <w:t xml:space="preserve"> </w:t>
            </w:r>
            <w:r w:rsidR="00130CA9">
              <w:rPr>
                <w:rFonts w:cs="Tahoma"/>
                <w:bCs/>
                <w:szCs w:val="20"/>
                <w:lang w:eastAsia="en-US"/>
              </w:rPr>
              <w:t>No update.</w:t>
            </w:r>
          </w:p>
          <w:p w14:paraId="7FF6B079" w14:textId="77777777" w:rsidR="00130CA9" w:rsidRDefault="00130CA9" w:rsidP="00A236F8">
            <w:pPr>
              <w:rPr>
                <w:rFonts w:cs="Tahoma"/>
                <w:bCs/>
                <w:szCs w:val="20"/>
                <w:lang w:eastAsia="en-US"/>
              </w:rPr>
            </w:pPr>
          </w:p>
          <w:p w14:paraId="58065DBC" w14:textId="1AD12B6F" w:rsidR="00130CA9" w:rsidRPr="00130CA9" w:rsidRDefault="00130CA9" w:rsidP="00A236F8">
            <w:pPr>
              <w:rPr>
                <w:rFonts w:cs="Tahoma"/>
                <w:bCs/>
                <w:szCs w:val="20"/>
                <w:lang w:eastAsia="en-US"/>
              </w:rPr>
            </w:pPr>
            <w:r>
              <w:rPr>
                <w:rFonts w:cs="Tahoma"/>
                <w:bCs/>
                <w:szCs w:val="20"/>
                <w:lang w:eastAsia="en-US"/>
              </w:rPr>
              <w:lastRenderedPageBreak/>
              <w:t xml:space="preserve">Gas Entry </w:t>
            </w:r>
            <w:r>
              <w:rPr>
                <w:rFonts w:cs="Tahoma"/>
                <w:bCs/>
                <w:i/>
                <w:iCs/>
                <w:szCs w:val="20"/>
                <w:lang w:eastAsia="en-US"/>
              </w:rPr>
              <w:t xml:space="preserve">via </w:t>
            </w:r>
            <w:r>
              <w:rPr>
                <w:rFonts w:cs="Tahoma"/>
                <w:bCs/>
                <w:szCs w:val="20"/>
                <w:lang w:eastAsia="en-US"/>
              </w:rPr>
              <w:t xml:space="preserve">IGT Pipelines – UNC Mod 842 </w:t>
            </w:r>
            <w:r w:rsidR="00764BC6">
              <w:rPr>
                <w:rFonts w:cs="Tahoma"/>
                <w:bCs/>
                <w:szCs w:val="20"/>
                <w:lang w:eastAsia="en-US"/>
              </w:rPr>
              <w:t>(</w:t>
            </w:r>
            <w:r w:rsidR="00764BC6">
              <w:rPr>
                <w:rFonts w:cs="Tahoma"/>
                <w:bCs/>
                <w:szCs w:val="20"/>
                <w:lang w:eastAsia="en-US"/>
              </w:rPr>
              <w:t xml:space="preserve">to facilitate gas entry to the total system </w:t>
            </w:r>
            <w:r w:rsidR="00764BC6" w:rsidRPr="00FC0F80">
              <w:rPr>
                <w:rFonts w:cs="Tahoma"/>
                <w:bCs/>
                <w:i/>
                <w:iCs/>
                <w:szCs w:val="20"/>
                <w:lang w:eastAsia="en-US"/>
              </w:rPr>
              <w:t>via</w:t>
            </w:r>
            <w:r w:rsidR="00764BC6">
              <w:rPr>
                <w:rFonts w:cs="Tahoma"/>
                <w:bCs/>
                <w:szCs w:val="20"/>
                <w:lang w:eastAsia="en-US"/>
              </w:rPr>
              <w:t xml:space="preserve"> IGT Pipelines</w:t>
            </w:r>
            <w:r w:rsidR="00764BC6">
              <w:rPr>
                <w:rFonts w:cs="Tahoma"/>
                <w:bCs/>
                <w:szCs w:val="20"/>
                <w:lang w:eastAsia="en-US"/>
              </w:rPr>
              <w:t xml:space="preserve">) was </w:t>
            </w:r>
            <w:r>
              <w:rPr>
                <w:rFonts w:cs="Tahoma"/>
                <w:bCs/>
                <w:szCs w:val="20"/>
                <w:lang w:eastAsia="en-US"/>
              </w:rPr>
              <w:t>tabled for discussion at the Distribution Work</w:t>
            </w:r>
            <w:r w:rsidR="00764BC6">
              <w:rPr>
                <w:rFonts w:cs="Tahoma"/>
                <w:bCs/>
                <w:szCs w:val="20"/>
                <w:lang w:eastAsia="en-US"/>
              </w:rPr>
              <w:t>g</w:t>
            </w:r>
            <w:r>
              <w:rPr>
                <w:rFonts w:cs="Tahoma"/>
                <w:bCs/>
                <w:szCs w:val="20"/>
                <w:lang w:eastAsia="en-US"/>
              </w:rPr>
              <w:t xml:space="preserve">roup </w:t>
            </w:r>
            <w:r w:rsidR="005A6FD0">
              <w:rPr>
                <w:rFonts w:cs="Tahoma"/>
                <w:bCs/>
                <w:szCs w:val="20"/>
                <w:lang w:eastAsia="en-US"/>
              </w:rPr>
              <w:t xml:space="preserve">on </w:t>
            </w:r>
            <w:r>
              <w:rPr>
                <w:rFonts w:cs="Tahoma"/>
                <w:bCs/>
                <w:szCs w:val="20"/>
                <w:lang w:eastAsia="en-US"/>
              </w:rPr>
              <w:t>28/09/23</w:t>
            </w:r>
            <w:r w:rsidR="005A6FD0">
              <w:rPr>
                <w:rFonts w:cs="Tahoma"/>
                <w:bCs/>
                <w:szCs w:val="20"/>
                <w:lang w:eastAsia="en-US"/>
              </w:rPr>
              <w:t xml:space="preserve">. </w:t>
            </w:r>
            <w:r w:rsidR="00FC0F80">
              <w:rPr>
                <w:rFonts w:cs="Tahoma"/>
                <w:bCs/>
                <w:szCs w:val="20"/>
                <w:lang w:eastAsia="en-US"/>
              </w:rPr>
              <w:t>The mod was p</w:t>
            </w:r>
            <w:r w:rsidR="005A6FD0">
              <w:rPr>
                <w:rFonts w:cs="Tahoma"/>
                <w:bCs/>
                <w:szCs w:val="20"/>
                <w:lang w:eastAsia="en-US"/>
              </w:rPr>
              <w:t>otentially ready to go to the UNC Panel by next mont</w:t>
            </w:r>
            <w:r w:rsidR="00764BC6">
              <w:rPr>
                <w:rFonts w:cs="Tahoma"/>
                <w:bCs/>
                <w:szCs w:val="20"/>
                <w:lang w:eastAsia="en-US"/>
              </w:rPr>
              <w:t xml:space="preserve">h, </w:t>
            </w:r>
            <w:r w:rsidR="00FC0F80">
              <w:rPr>
                <w:rFonts w:cs="Tahoma"/>
                <w:bCs/>
                <w:szCs w:val="20"/>
                <w:lang w:eastAsia="en-US"/>
              </w:rPr>
              <w:t xml:space="preserve">with </w:t>
            </w:r>
            <w:r w:rsidR="00764BC6">
              <w:rPr>
                <w:rFonts w:cs="Tahoma"/>
                <w:bCs/>
                <w:szCs w:val="20"/>
                <w:lang w:eastAsia="en-US"/>
              </w:rPr>
              <w:t>more details available on the Joint Office of Gas Transporters website.</w:t>
            </w:r>
          </w:p>
        </w:tc>
      </w:tr>
    </w:tbl>
    <w:p w14:paraId="3CA9B8DA" w14:textId="4B093195"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D34903" w:rsidRPr="00232395" w14:paraId="48371CB4" w14:textId="77777777" w:rsidTr="009734BB">
        <w:trPr>
          <w:trHeight w:val="482"/>
        </w:trPr>
        <w:tc>
          <w:tcPr>
            <w:tcW w:w="8077" w:type="dxa"/>
            <w:shd w:val="clear" w:color="auto" w:fill="009FE3" w:themeFill="accent4"/>
            <w:vAlign w:val="center"/>
          </w:tcPr>
          <w:p w14:paraId="6A5ED1F4" w14:textId="475271CB" w:rsidR="00D34903" w:rsidRPr="00232395" w:rsidRDefault="003A5D0D" w:rsidP="009734BB">
            <w:pPr>
              <w:rPr>
                <w:rFonts w:cs="Tahoma"/>
                <w:b/>
                <w:bCs/>
                <w:color w:val="FFFFFF" w:themeColor="background1"/>
                <w:szCs w:val="20"/>
                <w:lang w:eastAsia="en-US"/>
              </w:rPr>
            </w:pPr>
            <w:r>
              <w:rPr>
                <w:rFonts w:cs="Tahoma"/>
                <w:b/>
                <w:bCs/>
                <w:color w:val="FFFFFF" w:themeColor="background1"/>
                <w:szCs w:val="20"/>
                <w:lang w:eastAsia="en-US"/>
              </w:rPr>
              <w:t>5</w:t>
            </w:r>
            <w:r w:rsidR="002D611D">
              <w:rPr>
                <w:rFonts w:cs="Tahoma"/>
                <w:b/>
                <w:bCs/>
                <w:color w:val="FFFFFF" w:themeColor="background1"/>
                <w:szCs w:val="20"/>
                <w:lang w:eastAsia="en-US"/>
              </w:rPr>
              <w:t>a</w:t>
            </w:r>
            <w:r w:rsidR="00086544">
              <w:rPr>
                <w:rFonts w:cs="Tahoma"/>
                <w:b/>
                <w:bCs/>
                <w:color w:val="FFFFFF" w:themeColor="background1"/>
                <w:szCs w:val="20"/>
                <w:lang w:eastAsia="en-US"/>
              </w:rPr>
              <w:t>. Commercial Propane Quality</w:t>
            </w:r>
          </w:p>
        </w:tc>
        <w:tc>
          <w:tcPr>
            <w:tcW w:w="1701" w:type="dxa"/>
            <w:shd w:val="clear" w:color="auto" w:fill="009FE3" w:themeFill="accent4"/>
            <w:vAlign w:val="center"/>
          </w:tcPr>
          <w:p w14:paraId="52A9693D" w14:textId="6546A5B0" w:rsidR="00D34903" w:rsidRPr="00232395" w:rsidRDefault="004B61AE" w:rsidP="009734BB">
            <w:pPr>
              <w:jc w:val="center"/>
              <w:rPr>
                <w:rFonts w:cs="Tahoma"/>
                <w:b/>
                <w:bCs/>
                <w:color w:val="FFFFFF" w:themeColor="background1"/>
                <w:szCs w:val="20"/>
                <w:lang w:eastAsia="en-US"/>
              </w:rPr>
            </w:pPr>
            <w:r>
              <w:rPr>
                <w:rFonts w:cs="Tahoma"/>
                <w:b/>
                <w:bCs/>
                <w:color w:val="FFFFFF" w:themeColor="background1"/>
                <w:szCs w:val="20"/>
                <w:lang w:eastAsia="en-US"/>
              </w:rPr>
              <w:t>IMC</w:t>
            </w:r>
          </w:p>
        </w:tc>
      </w:tr>
      <w:tr w:rsidR="00D34903" w:rsidRPr="00232395" w14:paraId="2BDB490F" w14:textId="77777777" w:rsidTr="009734BB">
        <w:trPr>
          <w:trHeight w:val="482"/>
        </w:trPr>
        <w:tc>
          <w:tcPr>
            <w:tcW w:w="9778" w:type="dxa"/>
            <w:gridSpan w:val="2"/>
            <w:shd w:val="clear" w:color="auto" w:fill="E1F6FF"/>
            <w:vAlign w:val="center"/>
          </w:tcPr>
          <w:p w14:paraId="213AD918" w14:textId="5054776C" w:rsidR="009C0AED" w:rsidRDefault="00AE0798" w:rsidP="00AE0798">
            <w:pPr>
              <w:rPr>
                <w:rFonts w:cs="Tahoma"/>
                <w:bCs/>
                <w:szCs w:val="20"/>
                <w:lang w:eastAsia="en-US"/>
              </w:rPr>
            </w:pPr>
            <w:r>
              <w:rPr>
                <w:rFonts w:cs="Tahoma"/>
                <w:bCs/>
                <w:szCs w:val="20"/>
                <w:lang w:eastAsia="en-US"/>
              </w:rPr>
              <w:t xml:space="preserve">RB’s report </w:t>
            </w:r>
            <w:r w:rsidR="004B61AE">
              <w:rPr>
                <w:rFonts w:cs="Tahoma"/>
                <w:bCs/>
                <w:szCs w:val="20"/>
                <w:lang w:eastAsia="en-US"/>
              </w:rPr>
              <w:t xml:space="preserve">on propane contamination had been </w:t>
            </w:r>
            <w:r>
              <w:rPr>
                <w:rFonts w:cs="Tahoma"/>
                <w:bCs/>
                <w:szCs w:val="20"/>
                <w:lang w:eastAsia="en-US"/>
              </w:rPr>
              <w:t xml:space="preserve">shared </w:t>
            </w:r>
            <w:r w:rsidR="004B61AE">
              <w:rPr>
                <w:rFonts w:cs="Tahoma"/>
                <w:bCs/>
                <w:szCs w:val="20"/>
                <w:lang w:eastAsia="en-US"/>
              </w:rPr>
              <w:t>with</w:t>
            </w:r>
            <w:r>
              <w:rPr>
                <w:rFonts w:cs="Tahoma"/>
                <w:bCs/>
                <w:szCs w:val="20"/>
                <w:lang w:eastAsia="en-US"/>
              </w:rPr>
              <w:t xml:space="preserve"> the Gas Utilisation Committee, including with the representative from Calor Gas</w:t>
            </w:r>
            <w:r w:rsidR="001C450F">
              <w:rPr>
                <w:rFonts w:cs="Tahoma"/>
                <w:bCs/>
                <w:szCs w:val="20"/>
                <w:lang w:eastAsia="en-US"/>
              </w:rPr>
              <w:t xml:space="preserve">, </w:t>
            </w:r>
            <w:r w:rsidR="001C450F">
              <w:rPr>
                <w:rFonts w:cs="Tahoma"/>
                <w:bCs/>
                <w:szCs w:val="20"/>
                <w:lang w:eastAsia="en-US"/>
              </w:rPr>
              <w:t>and raised in-meeting on 12/09/23</w:t>
            </w:r>
            <w:r w:rsidR="004B61AE">
              <w:rPr>
                <w:rFonts w:cs="Tahoma"/>
                <w:bCs/>
                <w:szCs w:val="20"/>
                <w:lang w:eastAsia="en-US"/>
              </w:rPr>
              <w:t xml:space="preserve">. IMC was </w:t>
            </w:r>
            <w:r w:rsidR="009C0AED">
              <w:rPr>
                <w:rFonts w:cs="Tahoma"/>
                <w:bCs/>
                <w:szCs w:val="20"/>
                <w:lang w:eastAsia="en-US"/>
              </w:rPr>
              <w:t>awaiting feedback</w:t>
            </w:r>
            <w:r w:rsidR="001C450F">
              <w:rPr>
                <w:rFonts w:cs="Tahoma"/>
                <w:bCs/>
                <w:szCs w:val="20"/>
                <w:lang w:eastAsia="en-US"/>
              </w:rPr>
              <w:t xml:space="preserve"> / </w:t>
            </w:r>
            <w:r w:rsidR="004B61AE">
              <w:rPr>
                <w:rFonts w:cs="Tahoma"/>
                <w:bCs/>
                <w:szCs w:val="20"/>
                <w:lang w:eastAsia="en-US"/>
              </w:rPr>
              <w:t xml:space="preserve">assessment on the report from the </w:t>
            </w:r>
            <w:r w:rsidR="009C0AED">
              <w:rPr>
                <w:rFonts w:cs="Tahoma"/>
                <w:bCs/>
                <w:szCs w:val="20"/>
                <w:lang w:eastAsia="en-US"/>
              </w:rPr>
              <w:t>GUC, which would be shared with the EnCF once available.</w:t>
            </w:r>
          </w:p>
          <w:p w14:paraId="21DD3544" w14:textId="6A24CF8A" w:rsidR="004B61AE" w:rsidRDefault="001C450F" w:rsidP="00AE0798">
            <w:pPr>
              <w:rPr>
                <w:rFonts w:cs="Tahoma"/>
                <w:bCs/>
                <w:szCs w:val="20"/>
                <w:lang w:eastAsia="en-US"/>
              </w:rPr>
            </w:pPr>
            <w:r>
              <w:rPr>
                <w:rFonts w:cs="Tahoma"/>
                <w:bCs/>
                <w:szCs w:val="20"/>
                <w:lang w:eastAsia="en-US"/>
              </w:rPr>
              <w:t xml:space="preserve">The issue had also been raised at the Gas Transmission </w:t>
            </w:r>
            <w:r w:rsidR="009C0AED">
              <w:rPr>
                <w:rFonts w:cs="Tahoma"/>
                <w:bCs/>
                <w:szCs w:val="20"/>
                <w:lang w:eastAsia="en-US"/>
              </w:rPr>
              <w:t xml:space="preserve">and </w:t>
            </w:r>
            <w:r>
              <w:rPr>
                <w:rFonts w:cs="Tahoma"/>
                <w:bCs/>
                <w:szCs w:val="20"/>
                <w:lang w:eastAsia="en-US"/>
              </w:rPr>
              <w:t>D</w:t>
            </w:r>
            <w:r w:rsidR="009C0AED">
              <w:rPr>
                <w:rFonts w:cs="Tahoma"/>
                <w:bCs/>
                <w:szCs w:val="20"/>
                <w:lang w:eastAsia="en-US"/>
              </w:rPr>
              <w:t>i</w:t>
            </w:r>
            <w:r>
              <w:rPr>
                <w:rFonts w:cs="Tahoma"/>
                <w:bCs/>
                <w:szCs w:val="20"/>
                <w:lang w:eastAsia="en-US"/>
              </w:rPr>
              <w:t>s</w:t>
            </w:r>
            <w:r w:rsidR="009C0AED">
              <w:rPr>
                <w:rFonts w:cs="Tahoma"/>
                <w:bCs/>
                <w:szCs w:val="20"/>
                <w:lang w:eastAsia="en-US"/>
              </w:rPr>
              <w:t>tribution Committee.</w:t>
            </w:r>
          </w:p>
          <w:p w14:paraId="7EB35551" w14:textId="343D2984" w:rsidR="009C0AED" w:rsidRDefault="009C0AED" w:rsidP="00AE0798">
            <w:pPr>
              <w:rPr>
                <w:rFonts w:cs="Tahoma"/>
                <w:bCs/>
                <w:szCs w:val="20"/>
                <w:lang w:eastAsia="en-US"/>
              </w:rPr>
            </w:pPr>
            <w:r>
              <w:rPr>
                <w:rFonts w:cs="Tahoma"/>
                <w:bCs/>
                <w:szCs w:val="20"/>
                <w:lang w:eastAsia="en-US"/>
              </w:rPr>
              <w:t xml:space="preserve">JM updated that a questionnaire had also gone out to biomethane sites to </w:t>
            </w:r>
            <w:r w:rsidR="004C055F">
              <w:rPr>
                <w:rFonts w:cs="Tahoma"/>
                <w:bCs/>
                <w:szCs w:val="20"/>
                <w:lang w:eastAsia="en-US"/>
              </w:rPr>
              <w:t>try narrow down the geography of the issue (with IMC noting that LNG from St Fergus / Mossmorran</w:t>
            </w:r>
            <w:r w:rsidR="006F040D">
              <w:rPr>
                <w:rFonts w:cs="Tahoma"/>
                <w:bCs/>
                <w:szCs w:val="20"/>
                <w:lang w:eastAsia="en-US"/>
              </w:rPr>
              <w:t>, an ethylene site that prepared isopropane and isobutane</w:t>
            </w:r>
            <w:r w:rsidR="004C055F">
              <w:rPr>
                <w:rFonts w:cs="Tahoma"/>
                <w:bCs/>
                <w:szCs w:val="20"/>
                <w:lang w:eastAsia="en-US"/>
              </w:rPr>
              <w:t xml:space="preserve"> was not referenced in RB’s report</w:t>
            </w:r>
            <w:r w:rsidR="00263E8B">
              <w:rPr>
                <w:rFonts w:cs="Tahoma"/>
                <w:bCs/>
                <w:szCs w:val="20"/>
                <w:lang w:eastAsia="en-US"/>
              </w:rPr>
              <w:t xml:space="preserve">). </w:t>
            </w:r>
            <w:r w:rsidR="00CB46A2">
              <w:rPr>
                <w:rFonts w:cs="Tahoma"/>
                <w:bCs/>
                <w:szCs w:val="20"/>
                <w:lang w:eastAsia="en-US"/>
              </w:rPr>
              <w:t>The output from discussions with Flogas was that the providers essentially take that which they are given at the terminals, and that there was not much they could do in the way of preventative measures.</w:t>
            </w:r>
          </w:p>
          <w:p w14:paraId="0555138A" w14:textId="2CFCB70D" w:rsidR="00D34903" w:rsidRPr="00CB46A2" w:rsidRDefault="005D5192" w:rsidP="00CB46A2">
            <w:pPr>
              <w:rPr>
                <w:rFonts w:cs="Tahoma"/>
                <w:b/>
                <w:szCs w:val="20"/>
                <w:lang w:eastAsia="en-US"/>
              </w:rPr>
            </w:pPr>
            <w:r w:rsidRPr="005D5192">
              <w:rPr>
                <w:rFonts w:cs="Tahoma"/>
                <w:b/>
                <w:szCs w:val="20"/>
                <w:lang w:eastAsia="en-US"/>
              </w:rPr>
              <w:t>Action: MR to share the outputs of the propane questionnaire with IMC.</w:t>
            </w:r>
          </w:p>
        </w:tc>
      </w:tr>
    </w:tbl>
    <w:p w14:paraId="263C9391" w14:textId="4C3F7FD5" w:rsidR="00AA3D66" w:rsidRDefault="00AA3D66">
      <w:pPr>
        <w:spacing w:before="0" w:after="0"/>
        <w:rPr>
          <w:rStyle w:val="SubtleReference"/>
          <w:smallCaps w:val="0"/>
          <w:color w:val="auto"/>
        </w:rPr>
      </w:pPr>
    </w:p>
    <w:p w14:paraId="78F2E3D8" w14:textId="77777777" w:rsidR="00644FB2" w:rsidRDefault="00644FB2">
      <w:pPr>
        <w:spacing w:before="0" w:after="0"/>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3A5D0D" w:rsidRPr="00232395" w14:paraId="231C888A" w14:textId="77777777" w:rsidTr="00DA209E">
        <w:trPr>
          <w:trHeight w:val="482"/>
        </w:trPr>
        <w:tc>
          <w:tcPr>
            <w:tcW w:w="8077" w:type="dxa"/>
            <w:shd w:val="clear" w:color="auto" w:fill="009FE3" w:themeFill="accent4"/>
            <w:vAlign w:val="center"/>
          </w:tcPr>
          <w:p w14:paraId="0C2E31F9" w14:textId="08F2D1E4" w:rsidR="003A5D0D" w:rsidRPr="00232395" w:rsidRDefault="00086544" w:rsidP="00DA209E">
            <w:pPr>
              <w:rPr>
                <w:rFonts w:cs="Tahoma"/>
                <w:b/>
                <w:bCs/>
                <w:color w:val="FFFFFF" w:themeColor="background1"/>
                <w:szCs w:val="20"/>
                <w:lang w:eastAsia="en-US"/>
              </w:rPr>
            </w:pPr>
            <w:r>
              <w:rPr>
                <w:rFonts w:cs="Tahoma"/>
                <w:b/>
                <w:bCs/>
                <w:color w:val="FFFFFF" w:themeColor="background1"/>
                <w:szCs w:val="20"/>
                <w:lang w:eastAsia="en-US"/>
              </w:rPr>
              <w:t>5b. GS(M)R Amendments</w:t>
            </w:r>
          </w:p>
        </w:tc>
        <w:tc>
          <w:tcPr>
            <w:tcW w:w="1701" w:type="dxa"/>
            <w:shd w:val="clear" w:color="auto" w:fill="009FE3" w:themeFill="accent4"/>
            <w:vAlign w:val="center"/>
          </w:tcPr>
          <w:p w14:paraId="633FD6B3" w14:textId="00E69FA4" w:rsidR="003A5D0D" w:rsidRPr="00232395" w:rsidRDefault="00086544" w:rsidP="00DA209E">
            <w:pPr>
              <w:jc w:val="center"/>
              <w:rPr>
                <w:rFonts w:cs="Tahoma"/>
                <w:b/>
                <w:bCs/>
                <w:color w:val="FFFFFF" w:themeColor="background1"/>
                <w:szCs w:val="20"/>
                <w:lang w:eastAsia="en-US"/>
              </w:rPr>
            </w:pPr>
            <w:r>
              <w:rPr>
                <w:rFonts w:cs="Tahoma"/>
                <w:b/>
                <w:bCs/>
                <w:color w:val="FFFFFF" w:themeColor="background1"/>
                <w:szCs w:val="20"/>
                <w:lang w:eastAsia="en-US"/>
              </w:rPr>
              <w:t>ALL</w:t>
            </w:r>
          </w:p>
        </w:tc>
      </w:tr>
      <w:tr w:rsidR="003A5D0D" w14:paraId="089827E3" w14:textId="77777777" w:rsidTr="00DA209E">
        <w:trPr>
          <w:trHeight w:val="482"/>
        </w:trPr>
        <w:tc>
          <w:tcPr>
            <w:tcW w:w="9778" w:type="dxa"/>
            <w:gridSpan w:val="2"/>
            <w:shd w:val="clear" w:color="auto" w:fill="E1F6FF"/>
            <w:vAlign w:val="center"/>
          </w:tcPr>
          <w:p w14:paraId="18AEE51C" w14:textId="7CA755CE" w:rsidR="003A5D0D" w:rsidRDefault="00756F08" w:rsidP="00DA209E">
            <w:pPr>
              <w:rPr>
                <w:rFonts w:cs="Tahoma"/>
                <w:bCs/>
                <w:szCs w:val="20"/>
                <w:lang w:eastAsia="en-US"/>
              </w:rPr>
            </w:pPr>
            <w:r>
              <w:rPr>
                <w:rFonts w:cs="Tahoma"/>
                <w:bCs/>
                <w:szCs w:val="20"/>
                <w:lang w:eastAsia="en-US"/>
              </w:rPr>
              <w:t xml:space="preserve">GDNs </w:t>
            </w:r>
            <w:r w:rsidR="0000411F">
              <w:rPr>
                <w:rFonts w:cs="Tahoma"/>
                <w:bCs/>
                <w:szCs w:val="20"/>
                <w:lang w:eastAsia="en-US"/>
              </w:rPr>
              <w:t>were</w:t>
            </w:r>
            <w:r>
              <w:rPr>
                <w:rFonts w:cs="Tahoma"/>
                <w:bCs/>
                <w:szCs w:val="20"/>
                <w:lang w:eastAsia="en-US"/>
              </w:rPr>
              <w:t xml:space="preserve"> approaching the ICF and SI </w:t>
            </w:r>
            <w:r w:rsidR="008163FB">
              <w:rPr>
                <w:rFonts w:cs="Tahoma"/>
                <w:bCs/>
                <w:szCs w:val="20"/>
                <w:lang w:eastAsia="en-US"/>
              </w:rPr>
              <w:t xml:space="preserve">changes </w:t>
            </w:r>
            <w:r w:rsidR="0000411F">
              <w:rPr>
                <w:rFonts w:cs="Tahoma"/>
                <w:bCs/>
                <w:szCs w:val="20"/>
                <w:lang w:eastAsia="en-US"/>
              </w:rPr>
              <w:t xml:space="preserve">individually </w:t>
            </w:r>
            <w:r w:rsidR="008163FB">
              <w:rPr>
                <w:rFonts w:cs="Tahoma"/>
                <w:bCs/>
                <w:szCs w:val="20"/>
                <w:lang w:eastAsia="en-US"/>
              </w:rPr>
              <w:t xml:space="preserve">across their portfolio of biomethane </w:t>
            </w:r>
            <w:proofErr w:type="gramStart"/>
            <w:r w:rsidR="008163FB">
              <w:rPr>
                <w:rFonts w:cs="Tahoma"/>
                <w:bCs/>
                <w:szCs w:val="20"/>
                <w:lang w:eastAsia="en-US"/>
              </w:rPr>
              <w:t>sites</w:t>
            </w:r>
            <w:r w:rsidR="00947236">
              <w:rPr>
                <w:rFonts w:cs="Tahoma"/>
                <w:bCs/>
                <w:szCs w:val="20"/>
                <w:lang w:eastAsia="en-US"/>
              </w:rPr>
              <w:t xml:space="preserve">, </w:t>
            </w:r>
            <w:r w:rsidR="0000411F">
              <w:rPr>
                <w:rFonts w:cs="Tahoma"/>
                <w:bCs/>
                <w:szCs w:val="20"/>
                <w:lang w:eastAsia="en-US"/>
              </w:rPr>
              <w:t>and</w:t>
            </w:r>
            <w:proofErr w:type="gramEnd"/>
            <w:r w:rsidR="0000411F">
              <w:rPr>
                <w:rFonts w:cs="Tahoma"/>
                <w:bCs/>
                <w:szCs w:val="20"/>
                <w:lang w:eastAsia="en-US"/>
              </w:rPr>
              <w:t xml:space="preserve"> will approach DFOs as and when this could be facilitated. No further update.</w:t>
            </w:r>
          </w:p>
        </w:tc>
      </w:tr>
    </w:tbl>
    <w:p w14:paraId="4277E237" w14:textId="197EF12B" w:rsidR="003A5D0D" w:rsidRDefault="003A5D0D"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3A5D0D" w:rsidRPr="00232395" w14:paraId="0F60A583" w14:textId="77777777" w:rsidTr="00DA209E">
        <w:trPr>
          <w:trHeight w:val="482"/>
        </w:trPr>
        <w:tc>
          <w:tcPr>
            <w:tcW w:w="8077" w:type="dxa"/>
            <w:shd w:val="clear" w:color="auto" w:fill="009FE3" w:themeFill="accent4"/>
            <w:vAlign w:val="center"/>
          </w:tcPr>
          <w:p w14:paraId="567CB657" w14:textId="5BD1B6CA" w:rsidR="003A5D0D" w:rsidRPr="00232395" w:rsidRDefault="00086544" w:rsidP="00DA209E">
            <w:pPr>
              <w:rPr>
                <w:rFonts w:cs="Tahoma"/>
                <w:b/>
                <w:bCs/>
                <w:color w:val="FFFFFF" w:themeColor="background1"/>
                <w:szCs w:val="20"/>
                <w:lang w:eastAsia="en-US"/>
              </w:rPr>
            </w:pPr>
            <w:r>
              <w:rPr>
                <w:rFonts w:cs="Tahoma"/>
                <w:b/>
                <w:bCs/>
                <w:color w:val="FFFFFF" w:themeColor="background1"/>
                <w:szCs w:val="20"/>
                <w:lang w:eastAsia="en-US"/>
              </w:rPr>
              <w:t>6. Communications from DFOs</w:t>
            </w:r>
          </w:p>
        </w:tc>
        <w:tc>
          <w:tcPr>
            <w:tcW w:w="1701" w:type="dxa"/>
            <w:shd w:val="clear" w:color="auto" w:fill="009FE3" w:themeFill="accent4"/>
            <w:vAlign w:val="center"/>
          </w:tcPr>
          <w:p w14:paraId="096C00A0" w14:textId="4A5F7375" w:rsidR="003A5D0D" w:rsidRPr="00232395" w:rsidRDefault="00086544" w:rsidP="00DA209E">
            <w:pPr>
              <w:jc w:val="center"/>
              <w:rPr>
                <w:rFonts w:cs="Tahoma"/>
                <w:b/>
                <w:bCs/>
                <w:color w:val="FFFFFF" w:themeColor="background1"/>
                <w:szCs w:val="20"/>
                <w:lang w:eastAsia="en-US"/>
              </w:rPr>
            </w:pPr>
            <w:r>
              <w:rPr>
                <w:rFonts w:cs="Tahoma"/>
                <w:b/>
                <w:bCs/>
                <w:color w:val="FFFFFF" w:themeColor="background1"/>
                <w:szCs w:val="20"/>
                <w:lang w:eastAsia="en-US"/>
              </w:rPr>
              <w:t>–</w:t>
            </w:r>
          </w:p>
        </w:tc>
      </w:tr>
      <w:tr w:rsidR="003A5D0D" w14:paraId="4B18E099" w14:textId="77777777" w:rsidTr="00DA209E">
        <w:trPr>
          <w:trHeight w:val="482"/>
        </w:trPr>
        <w:tc>
          <w:tcPr>
            <w:tcW w:w="9778" w:type="dxa"/>
            <w:gridSpan w:val="2"/>
            <w:shd w:val="clear" w:color="auto" w:fill="E1F6FF"/>
            <w:vAlign w:val="center"/>
          </w:tcPr>
          <w:p w14:paraId="09BA4C97" w14:textId="17076FEB" w:rsidR="003A5D0D" w:rsidRDefault="00086544" w:rsidP="00DA209E">
            <w:pPr>
              <w:rPr>
                <w:rFonts w:cs="Tahoma"/>
                <w:bCs/>
                <w:szCs w:val="20"/>
                <w:lang w:eastAsia="en-US"/>
              </w:rPr>
            </w:pPr>
            <w:r>
              <w:rPr>
                <w:rFonts w:cs="Tahoma"/>
                <w:bCs/>
                <w:szCs w:val="20"/>
                <w:lang w:eastAsia="en-US"/>
              </w:rPr>
              <w:t>None received prior to the meeting.</w:t>
            </w:r>
          </w:p>
        </w:tc>
      </w:tr>
    </w:tbl>
    <w:p w14:paraId="35F6C1FC" w14:textId="3ED3FD58" w:rsidR="003A5D0D" w:rsidRDefault="003A5D0D"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3A5D0D" w:rsidRPr="00232395" w14:paraId="3E176A58" w14:textId="77777777" w:rsidTr="00DA209E">
        <w:trPr>
          <w:trHeight w:val="482"/>
        </w:trPr>
        <w:tc>
          <w:tcPr>
            <w:tcW w:w="8077" w:type="dxa"/>
            <w:shd w:val="clear" w:color="auto" w:fill="009FE3" w:themeFill="accent4"/>
            <w:vAlign w:val="center"/>
          </w:tcPr>
          <w:p w14:paraId="69CA4586" w14:textId="6B090BB3" w:rsidR="003A5D0D" w:rsidRPr="00232395" w:rsidRDefault="00086544" w:rsidP="00DA209E">
            <w:pPr>
              <w:rPr>
                <w:rFonts w:cs="Tahoma"/>
                <w:b/>
                <w:bCs/>
                <w:color w:val="FFFFFF" w:themeColor="background1"/>
                <w:szCs w:val="20"/>
                <w:lang w:eastAsia="en-US"/>
              </w:rPr>
            </w:pPr>
            <w:r>
              <w:rPr>
                <w:rFonts w:cs="Tahoma"/>
                <w:b/>
                <w:bCs/>
                <w:color w:val="FFFFFF" w:themeColor="background1"/>
                <w:szCs w:val="20"/>
                <w:lang w:eastAsia="en-US"/>
              </w:rPr>
              <w:t>AOB – Huddle / SharePoint Update</w:t>
            </w:r>
          </w:p>
        </w:tc>
        <w:tc>
          <w:tcPr>
            <w:tcW w:w="1701" w:type="dxa"/>
            <w:shd w:val="clear" w:color="auto" w:fill="009FE3" w:themeFill="accent4"/>
            <w:vAlign w:val="center"/>
          </w:tcPr>
          <w:p w14:paraId="0FDA2057" w14:textId="7F1AE5F0" w:rsidR="003A5D0D" w:rsidRPr="00232395" w:rsidRDefault="0000411F" w:rsidP="00DA209E">
            <w:pPr>
              <w:jc w:val="center"/>
              <w:rPr>
                <w:rFonts w:cs="Tahoma"/>
                <w:b/>
                <w:bCs/>
                <w:color w:val="FFFFFF" w:themeColor="background1"/>
                <w:szCs w:val="20"/>
                <w:lang w:eastAsia="en-US"/>
              </w:rPr>
            </w:pPr>
            <w:r>
              <w:rPr>
                <w:rFonts w:cs="Tahoma"/>
                <w:b/>
                <w:bCs/>
                <w:color w:val="FFFFFF" w:themeColor="background1"/>
                <w:szCs w:val="20"/>
                <w:lang w:eastAsia="en-US"/>
              </w:rPr>
              <w:t>CS</w:t>
            </w:r>
          </w:p>
        </w:tc>
      </w:tr>
      <w:tr w:rsidR="003A5D0D" w14:paraId="703F5A02" w14:textId="77777777" w:rsidTr="00DA209E">
        <w:trPr>
          <w:trHeight w:val="482"/>
        </w:trPr>
        <w:tc>
          <w:tcPr>
            <w:tcW w:w="9778" w:type="dxa"/>
            <w:gridSpan w:val="2"/>
            <w:shd w:val="clear" w:color="auto" w:fill="E1F6FF"/>
            <w:vAlign w:val="center"/>
          </w:tcPr>
          <w:p w14:paraId="4F55C0D3" w14:textId="36338045" w:rsidR="0000411F" w:rsidRDefault="0000411F" w:rsidP="00DA209E">
            <w:pPr>
              <w:rPr>
                <w:rFonts w:cs="Tahoma"/>
                <w:bCs/>
                <w:szCs w:val="20"/>
                <w:lang w:eastAsia="en-US"/>
              </w:rPr>
            </w:pPr>
            <w:r>
              <w:rPr>
                <w:rFonts w:cs="Tahoma"/>
                <w:bCs/>
                <w:szCs w:val="20"/>
                <w:lang w:eastAsia="en-US"/>
              </w:rPr>
              <w:t>CS updated on behalf of MR that the EnCF Huddle site was now out-of-action, and ENA will be using SharePoint in much the same fashion</w:t>
            </w:r>
            <w:r w:rsidR="004D3D96">
              <w:rPr>
                <w:rFonts w:cs="Tahoma"/>
                <w:bCs/>
                <w:szCs w:val="20"/>
                <w:lang w:eastAsia="en-US"/>
              </w:rPr>
              <w:t xml:space="preserve">: </w:t>
            </w:r>
            <w:hyperlink r:id="rId17" w:history="1">
              <w:r w:rsidR="004D3D96" w:rsidRPr="00863B05">
                <w:rPr>
                  <w:rStyle w:val="Hyperlink"/>
                  <w:rFonts w:cs="Tahoma"/>
                  <w:bCs/>
                  <w:szCs w:val="20"/>
                  <w:lang w:eastAsia="en-US"/>
                </w:rPr>
                <w:t>https://energynetworks.sharepoint.com/sites/EntryCustomerForum</w:t>
              </w:r>
            </w:hyperlink>
            <w:r w:rsidR="004D3D96">
              <w:rPr>
                <w:rFonts w:cs="Tahoma"/>
                <w:bCs/>
                <w:szCs w:val="20"/>
                <w:lang w:eastAsia="en-US"/>
              </w:rPr>
              <w:t>.</w:t>
            </w:r>
          </w:p>
          <w:p w14:paraId="2357896A" w14:textId="7EB6066D" w:rsidR="003A5D0D" w:rsidRDefault="000E7199" w:rsidP="000E7199">
            <w:pPr>
              <w:rPr>
                <w:rFonts w:cs="Tahoma"/>
                <w:bCs/>
                <w:szCs w:val="20"/>
                <w:lang w:eastAsia="en-US"/>
              </w:rPr>
            </w:pPr>
            <w:r>
              <w:rPr>
                <w:rFonts w:cs="Tahoma"/>
                <w:bCs/>
                <w:szCs w:val="20"/>
                <w:lang w:eastAsia="en-US"/>
              </w:rPr>
              <w:t>Not all attendees will have site access yet, but this is being worked on by ENA.</w:t>
            </w:r>
          </w:p>
        </w:tc>
      </w:tr>
    </w:tbl>
    <w:p w14:paraId="37E6E328" w14:textId="77777777" w:rsidR="003A5D0D" w:rsidRDefault="003A5D0D"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D34903" w:rsidRPr="00232395" w14:paraId="02F4B984" w14:textId="77777777" w:rsidTr="009734BB">
        <w:trPr>
          <w:trHeight w:val="482"/>
        </w:trPr>
        <w:tc>
          <w:tcPr>
            <w:tcW w:w="8077" w:type="dxa"/>
            <w:shd w:val="clear" w:color="auto" w:fill="009FE3" w:themeFill="accent4"/>
            <w:vAlign w:val="center"/>
          </w:tcPr>
          <w:p w14:paraId="314BF426" w14:textId="68D38C7F" w:rsidR="00D34903" w:rsidRPr="00232395" w:rsidRDefault="00086544" w:rsidP="009734BB">
            <w:pPr>
              <w:rPr>
                <w:rFonts w:cs="Tahoma"/>
                <w:b/>
                <w:bCs/>
                <w:color w:val="FFFFFF" w:themeColor="background1"/>
                <w:szCs w:val="20"/>
                <w:lang w:eastAsia="en-US"/>
              </w:rPr>
            </w:pPr>
            <w:r>
              <w:rPr>
                <w:rFonts w:cs="Tahoma"/>
                <w:b/>
                <w:bCs/>
                <w:color w:val="FFFFFF" w:themeColor="background1"/>
                <w:szCs w:val="20"/>
                <w:lang w:eastAsia="en-US"/>
              </w:rPr>
              <w:t>AOB –</w:t>
            </w:r>
            <w:r w:rsidR="001F7FD6">
              <w:rPr>
                <w:rFonts w:cs="Tahoma"/>
                <w:b/>
                <w:bCs/>
                <w:color w:val="FFFFFF" w:themeColor="background1"/>
                <w:szCs w:val="20"/>
                <w:lang w:eastAsia="en-US"/>
              </w:rPr>
              <w:t xml:space="preserve"> </w:t>
            </w:r>
            <w:r w:rsidR="000E7199">
              <w:rPr>
                <w:rFonts w:cs="Tahoma"/>
                <w:b/>
                <w:bCs/>
                <w:color w:val="FFFFFF" w:themeColor="background1"/>
                <w:szCs w:val="20"/>
                <w:lang w:eastAsia="en-US"/>
              </w:rPr>
              <w:t>Next Meeting Date</w:t>
            </w:r>
          </w:p>
        </w:tc>
        <w:tc>
          <w:tcPr>
            <w:tcW w:w="1701" w:type="dxa"/>
            <w:shd w:val="clear" w:color="auto" w:fill="009FE3" w:themeFill="accent4"/>
            <w:vAlign w:val="center"/>
          </w:tcPr>
          <w:p w14:paraId="49E2200F" w14:textId="7A1FC687" w:rsidR="00D34903" w:rsidRPr="00232395" w:rsidRDefault="000E7199" w:rsidP="009734BB">
            <w:pPr>
              <w:jc w:val="center"/>
              <w:rPr>
                <w:rFonts w:cs="Tahoma"/>
                <w:b/>
                <w:bCs/>
                <w:color w:val="FFFFFF" w:themeColor="background1"/>
                <w:szCs w:val="20"/>
                <w:lang w:eastAsia="en-US"/>
              </w:rPr>
            </w:pPr>
            <w:r>
              <w:rPr>
                <w:rFonts w:cs="Tahoma"/>
                <w:b/>
                <w:bCs/>
                <w:color w:val="FFFFFF" w:themeColor="background1"/>
                <w:szCs w:val="20"/>
                <w:lang w:eastAsia="en-US"/>
              </w:rPr>
              <w:t>–</w:t>
            </w:r>
          </w:p>
        </w:tc>
      </w:tr>
      <w:tr w:rsidR="00D34903" w:rsidRPr="00232395" w14:paraId="4FCEE7A6" w14:textId="77777777" w:rsidTr="009734BB">
        <w:trPr>
          <w:trHeight w:val="482"/>
        </w:trPr>
        <w:tc>
          <w:tcPr>
            <w:tcW w:w="9778" w:type="dxa"/>
            <w:gridSpan w:val="2"/>
            <w:shd w:val="clear" w:color="auto" w:fill="E1F6FF"/>
            <w:vAlign w:val="center"/>
          </w:tcPr>
          <w:p w14:paraId="017DBD2C" w14:textId="0F759017" w:rsidR="00D34903" w:rsidRPr="000E7199" w:rsidRDefault="000E7199" w:rsidP="009734BB">
            <w:pPr>
              <w:rPr>
                <w:rFonts w:cs="Tahoma"/>
                <w:bCs/>
                <w:i/>
                <w:iCs/>
                <w:szCs w:val="20"/>
                <w:lang w:eastAsia="en-US"/>
              </w:rPr>
            </w:pPr>
            <w:r>
              <w:rPr>
                <w:rFonts w:cs="Tahoma"/>
                <w:bCs/>
                <w:i/>
                <w:iCs/>
                <w:szCs w:val="20"/>
                <w:lang w:eastAsia="en-US"/>
              </w:rPr>
              <w:t>Post-meeting comment: the next EnCF is scheduled for November 28th.</w:t>
            </w:r>
          </w:p>
        </w:tc>
      </w:tr>
    </w:tbl>
    <w:p w14:paraId="5EBB9B9D" w14:textId="77777777" w:rsidR="002666DA" w:rsidRPr="00561548" w:rsidRDefault="002666DA" w:rsidP="00086544">
      <w:pPr>
        <w:rPr>
          <w:rStyle w:val="SubtleReference"/>
          <w:smallCaps w:val="0"/>
          <w:color w:val="auto"/>
        </w:rPr>
      </w:pPr>
    </w:p>
    <w:sectPr w:rsidR="002666DA" w:rsidRPr="00561548" w:rsidSect="00644FB2">
      <w:pgSz w:w="11900" w:h="16840"/>
      <w:pgMar w:top="2552" w:right="3232" w:bottom="2552"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B22C" w14:textId="77777777" w:rsidR="00CE0CC7" w:rsidRDefault="00CE0CC7" w:rsidP="00297315">
      <w:r>
        <w:separator/>
      </w:r>
    </w:p>
  </w:endnote>
  <w:endnote w:type="continuationSeparator" w:id="0">
    <w:p w14:paraId="54BDA4F1" w14:textId="77777777" w:rsidR="00CE0CC7" w:rsidRDefault="00CE0CC7" w:rsidP="002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5E0" w14:textId="032042B7" w:rsidR="00366250" w:rsidRPr="006A26C3" w:rsidRDefault="00D701A7" w:rsidP="00366250">
    <w:pPr>
      <w:pStyle w:val="Footer"/>
      <w:ind w:right="-2559"/>
      <w:jc w:val="right"/>
      <w:rPr>
        <w:rFonts w:cs="Arial"/>
        <w:sz w:val="16"/>
        <w:szCs w:val="16"/>
      </w:rPr>
    </w:pPr>
    <w:r>
      <w:rPr>
        <w:rFonts w:cs="Arial"/>
        <w:color w:val="00598E" w:themeColor="text2"/>
        <w:sz w:val="16"/>
        <w:szCs w:val="16"/>
      </w:rPr>
      <w:t>Meeting Minutes</w:t>
    </w:r>
    <w:r w:rsidR="00493087" w:rsidRPr="005D5FC0">
      <w:rPr>
        <w:rFonts w:cs="Arial"/>
        <w:color w:val="00598E" w:themeColor="text2"/>
        <w:sz w:val="16"/>
        <w:szCs w:val="16"/>
      </w:rPr>
      <w:t xml:space="preserve"> </w:t>
    </w:r>
    <w:r w:rsidR="00493087" w:rsidRPr="005D5FC0">
      <w:rPr>
        <w:rFonts w:cs="Arial"/>
        <w:color w:val="FF7232" w:themeColor="accent3"/>
        <w:sz w:val="16"/>
        <w:szCs w:val="16"/>
      </w:rPr>
      <w:t>│</w:t>
    </w:r>
    <w:r w:rsidR="00366250" w:rsidRPr="005D5FC0">
      <w:rPr>
        <w:rFonts w:cs="Arial"/>
        <w:color w:val="00598E" w:themeColor="text2"/>
        <w:sz w:val="16"/>
        <w:szCs w:val="16"/>
      </w:rPr>
      <w:t xml:space="preserve"> </w:t>
    </w:r>
    <w:r w:rsidR="00BE465E" w:rsidRPr="00BE465E">
      <w:rPr>
        <w:rFonts w:cs="Arial"/>
        <w:color w:val="00598E" w:themeColor="text2"/>
        <w:sz w:val="16"/>
        <w:szCs w:val="16"/>
      </w:rPr>
      <w:fldChar w:fldCharType="begin"/>
    </w:r>
    <w:r w:rsidR="00BE465E" w:rsidRPr="00BE465E">
      <w:rPr>
        <w:rFonts w:cs="Arial"/>
        <w:color w:val="00598E" w:themeColor="text2"/>
        <w:sz w:val="16"/>
        <w:szCs w:val="16"/>
      </w:rPr>
      <w:instrText xml:space="preserve"> PAGE   \* MERGEFORMAT </w:instrText>
    </w:r>
    <w:r w:rsidR="00BE465E" w:rsidRPr="00BE465E">
      <w:rPr>
        <w:rFonts w:cs="Arial"/>
        <w:color w:val="00598E" w:themeColor="text2"/>
        <w:sz w:val="16"/>
        <w:szCs w:val="16"/>
      </w:rPr>
      <w:fldChar w:fldCharType="separate"/>
    </w:r>
    <w:r w:rsidR="00BE465E" w:rsidRPr="00BE465E">
      <w:rPr>
        <w:rFonts w:cs="Arial"/>
        <w:noProof/>
        <w:color w:val="00598E" w:themeColor="text2"/>
        <w:sz w:val="16"/>
        <w:szCs w:val="16"/>
      </w:rPr>
      <w:t>1</w:t>
    </w:r>
    <w:r w:rsidR="00BE465E" w:rsidRPr="00BE465E">
      <w:rPr>
        <w:rFonts w:cs="Arial"/>
        <w:noProof/>
        <w:color w:val="00598E" w:themeColor="text2"/>
        <w:sz w:val="16"/>
        <w:szCs w:val="16"/>
      </w:rPr>
      <w:fldChar w:fldCharType="end"/>
    </w:r>
    <w:r w:rsidR="00366250" w:rsidRPr="006A26C3">
      <w:rPr>
        <w:rFonts w:cs="Arial"/>
        <w:noProof/>
        <w:sz w:val="16"/>
        <w:szCs w:val="16"/>
      </w:rPr>
      <w:drawing>
        <wp:anchor distT="0" distB="0" distL="114300" distR="114300" simplePos="0" relativeHeight="251667456" behindDoc="1" locked="0" layoutInCell="1" allowOverlap="1" wp14:anchorId="6620DF63" wp14:editId="1626D37A">
          <wp:simplePos x="0" y="0"/>
          <wp:positionH relativeFrom="page">
            <wp:align>left</wp:align>
          </wp:positionH>
          <wp:positionV relativeFrom="page">
            <wp:align>bottom</wp:align>
          </wp:positionV>
          <wp:extent cx="7560000" cy="1446040"/>
          <wp:effectExtent l="0" t="0" r="3175" b="1905"/>
          <wp:wrapNone/>
          <wp:docPr id="2106305828" name="Picture 2106305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0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8322" w14:textId="035EFBE7" w:rsidR="00F47EC4" w:rsidRDefault="00F47EC4">
    <w:pPr>
      <w:pStyle w:val="Footer"/>
    </w:pPr>
    <w:r>
      <w:rPr>
        <w:noProof/>
      </w:rPr>
      <w:drawing>
        <wp:anchor distT="0" distB="0" distL="114300" distR="114300" simplePos="0" relativeHeight="251673600" behindDoc="1" locked="0" layoutInCell="1" allowOverlap="1" wp14:anchorId="6DF271B5" wp14:editId="145E75EB">
          <wp:simplePos x="0" y="0"/>
          <wp:positionH relativeFrom="page">
            <wp:posOffset>-6350</wp:posOffset>
          </wp:positionH>
          <wp:positionV relativeFrom="page">
            <wp:posOffset>9258300</wp:posOffset>
          </wp:positionV>
          <wp:extent cx="7560000" cy="1446040"/>
          <wp:effectExtent l="0" t="0" r="3175" b="1905"/>
          <wp:wrapNone/>
          <wp:docPr id="362850624" name="Picture 36285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A-letterhead-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D6B0" w14:textId="77777777" w:rsidR="00CE0CC7" w:rsidRDefault="00CE0CC7" w:rsidP="00297315">
      <w:r>
        <w:separator/>
      </w:r>
    </w:p>
  </w:footnote>
  <w:footnote w:type="continuationSeparator" w:id="0">
    <w:p w14:paraId="08BA8445" w14:textId="77777777" w:rsidR="00CE0CC7" w:rsidRDefault="00CE0CC7" w:rsidP="0029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0995" w14:textId="77777777" w:rsidR="00F47EC4" w:rsidRDefault="00F47EC4" w:rsidP="00F47EC4">
    <w:pPr>
      <w:spacing w:before="0" w:after="0"/>
      <w:ind w:hanging="425"/>
      <w:rPr>
        <w:b/>
        <w:bCs/>
        <w:color w:val="00598E" w:themeColor="text2"/>
        <w:sz w:val="16"/>
        <w:szCs w:val="16"/>
      </w:rPr>
    </w:pPr>
  </w:p>
  <w:p w14:paraId="66EEB3A9" w14:textId="77777777" w:rsidR="00F47EC4" w:rsidRDefault="00F47EC4" w:rsidP="00F47EC4">
    <w:pPr>
      <w:spacing w:before="0" w:after="0"/>
      <w:ind w:hanging="425"/>
      <w:rPr>
        <w:b/>
        <w:bCs/>
        <w:color w:val="00598E" w:themeColor="text2"/>
        <w:sz w:val="16"/>
        <w:szCs w:val="16"/>
      </w:rPr>
    </w:pPr>
  </w:p>
  <w:p w14:paraId="3E053302" w14:textId="77777777" w:rsidR="00F47EC4" w:rsidRDefault="00F47EC4" w:rsidP="00F47EC4">
    <w:pPr>
      <w:spacing w:before="0" w:after="0"/>
      <w:ind w:hanging="425"/>
      <w:rPr>
        <w:b/>
        <w:bCs/>
        <w:color w:val="00598E" w:themeColor="text2"/>
        <w:sz w:val="16"/>
        <w:szCs w:val="16"/>
      </w:rPr>
    </w:pPr>
  </w:p>
  <w:p w14:paraId="5FC7B842" w14:textId="77777777" w:rsidR="003C33AF" w:rsidRDefault="003C33AF" w:rsidP="00F47EC4">
    <w:pPr>
      <w:spacing w:before="0" w:after="0"/>
      <w:ind w:hanging="425"/>
      <w:rPr>
        <w:b/>
        <w:bCs/>
        <w:color w:val="00598E" w:themeColor="text2"/>
        <w:sz w:val="16"/>
        <w:szCs w:val="16"/>
      </w:rPr>
    </w:pPr>
  </w:p>
  <w:p w14:paraId="4F6BB0AD" w14:textId="77777777" w:rsidR="00814177" w:rsidRPr="005D5FC0" w:rsidRDefault="00D63A7A" w:rsidP="00814177">
    <w:pPr>
      <w:pStyle w:val="HeaderText"/>
    </w:pPr>
    <w:r>
      <w:fldChar w:fldCharType="begin"/>
    </w:r>
    <w:r>
      <w:instrText xml:space="preserve"> REF TitleOfCommittee  \* MERGEFORMAT </w:instrText>
    </w:r>
    <w:r>
      <w:fldChar w:fldCharType="separate"/>
    </w:r>
    <w:r w:rsidR="00814177">
      <w:t>Entry Customer Forum</w:t>
    </w:r>
  </w:p>
  <w:p w14:paraId="6815C982" w14:textId="5108A266" w:rsidR="00F47EC4" w:rsidRPr="00F47EC4" w:rsidRDefault="00D63A7A" w:rsidP="00D63A7A">
    <w:pPr>
      <w:pStyle w:val="HeaderText"/>
      <w:rPr>
        <w:color w:val="00598E" w:themeColor="text2"/>
      </w:rPr>
    </w:pPr>
    <w:r>
      <w:fldChar w:fldCharType="end"/>
    </w:r>
    <w:r w:rsidR="00F47EC4">
      <w:t>Meeting Minutes</w:t>
    </w:r>
  </w:p>
  <w:p w14:paraId="76B3D423" w14:textId="77777777" w:rsidR="00814177" w:rsidRDefault="00A47862" w:rsidP="00814177">
    <w:pPr>
      <w:pStyle w:val="HeaderText"/>
    </w:pPr>
    <w:r>
      <w:fldChar w:fldCharType="begin"/>
    </w:r>
    <w:r>
      <w:rPr>
        <w:color w:val="00598E" w:themeColor="text2"/>
      </w:rPr>
      <w:instrText xml:space="preserve"> REF DateTime \h </w:instrText>
    </w:r>
    <w:r>
      <w:instrText xml:space="preserve"> \* MERGEFORMAT </w:instrText>
    </w:r>
    <w:r>
      <w:fldChar w:fldCharType="separate"/>
    </w:r>
    <w:r w:rsidR="00814177">
      <w:t>Tuesday 26 September 2023</w:t>
    </w:r>
    <w:r w:rsidR="00814177" w:rsidRPr="003C060A">
      <w:t xml:space="preserve"> at 1</w:t>
    </w:r>
    <w:r w:rsidR="00814177">
      <w:t>2</w:t>
    </w:r>
    <w:r w:rsidR="00814177" w:rsidRPr="003C060A">
      <w:t>.</w:t>
    </w:r>
    <w:r w:rsidR="00814177">
      <w:t>3</w:t>
    </w:r>
    <w:r w:rsidR="00814177" w:rsidRPr="003C060A">
      <w:t>0</w:t>
    </w:r>
    <w:r w:rsidR="00814177">
      <w:t>PM</w:t>
    </w:r>
    <w:r w:rsidR="00814177" w:rsidRPr="003C060A">
      <w:t xml:space="preserve"> – </w:t>
    </w:r>
    <w:r w:rsidR="00814177">
      <w:t>2</w:t>
    </w:r>
    <w:r w:rsidR="00814177" w:rsidRPr="003C060A">
      <w:t>.</w:t>
    </w:r>
    <w:r w:rsidR="00814177">
      <w:t>0</w:t>
    </w:r>
    <w:r w:rsidR="00814177" w:rsidRPr="003C060A">
      <w:t>0</w:t>
    </w:r>
    <w:r w:rsidR="00814177">
      <w:t>PM</w:t>
    </w:r>
  </w:p>
  <w:p w14:paraId="109653B7" w14:textId="6EF1070E" w:rsidR="00F47EC4" w:rsidRPr="00F47EC4" w:rsidRDefault="00A47862" w:rsidP="00F47EC4">
    <w:pPr>
      <w:spacing w:before="0" w:after="0"/>
      <w:ind w:hanging="425"/>
      <w:rPr>
        <w:color w:val="00598E" w:themeColor="text2"/>
        <w:sz w:val="16"/>
        <w:szCs w:val="16"/>
      </w:rPr>
    </w:pPr>
    <w:r>
      <w:rPr>
        <w:color w:val="4378A8" w:themeColor="accent2"/>
        <w:sz w:val="16"/>
        <w:szCs w:val="16"/>
      </w:rPr>
      <w:fldChar w:fldCharType="end"/>
    </w:r>
    <w:r w:rsidR="00F47EC4">
      <w:rPr>
        <w:noProof/>
      </w:rPr>
      <w:drawing>
        <wp:anchor distT="0" distB="0" distL="114300" distR="114300" simplePos="0" relativeHeight="251671552" behindDoc="1" locked="0" layoutInCell="1" allowOverlap="1" wp14:anchorId="6722640E" wp14:editId="2BDB4865">
          <wp:simplePos x="0" y="0"/>
          <wp:positionH relativeFrom="page">
            <wp:posOffset>6350</wp:posOffset>
          </wp:positionH>
          <wp:positionV relativeFrom="page">
            <wp:posOffset>0</wp:posOffset>
          </wp:positionV>
          <wp:extent cx="7560000" cy="1447200"/>
          <wp:effectExtent l="0" t="0" r="3175" b="635"/>
          <wp:wrapNone/>
          <wp:docPr id="961867662" name="Picture 96186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D4DF" w14:textId="779BD8DD" w:rsidR="00F47EC4" w:rsidRDefault="00F47EC4">
    <w:pPr>
      <w:pStyle w:val="Header"/>
    </w:pPr>
    <w:r>
      <w:rPr>
        <w:noProof/>
      </w:rPr>
      <w:drawing>
        <wp:anchor distT="0" distB="0" distL="114300" distR="114300" simplePos="0" relativeHeight="251669504" behindDoc="1" locked="0" layoutInCell="1" allowOverlap="1" wp14:anchorId="1ABB2A1C" wp14:editId="0383F006">
          <wp:simplePos x="0" y="0"/>
          <wp:positionH relativeFrom="page">
            <wp:align>right</wp:align>
          </wp:positionH>
          <wp:positionV relativeFrom="page">
            <wp:align>top</wp:align>
          </wp:positionV>
          <wp:extent cx="7560000" cy="1447200"/>
          <wp:effectExtent l="0" t="0" r="3175" b="635"/>
          <wp:wrapNone/>
          <wp:docPr id="967273129" name="Picture 96727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28E"/>
    <w:multiLevelType w:val="hybridMultilevel"/>
    <w:tmpl w:val="73305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BF1AB2"/>
    <w:multiLevelType w:val="hybridMultilevel"/>
    <w:tmpl w:val="7AD016B6"/>
    <w:lvl w:ilvl="0" w:tplc="2EC0DAA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535AF"/>
    <w:multiLevelType w:val="hybridMultilevel"/>
    <w:tmpl w:val="8FA2C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7B7E61"/>
    <w:multiLevelType w:val="hybridMultilevel"/>
    <w:tmpl w:val="2886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F3582"/>
    <w:multiLevelType w:val="hybridMultilevel"/>
    <w:tmpl w:val="F3500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E33D4"/>
    <w:multiLevelType w:val="hybridMultilevel"/>
    <w:tmpl w:val="25CC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E4A73"/>
    <w:multiLevelType w:val="hybridMultilevel"/>
    <w:tmpl w:val="B2807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01530A"/>
    <w:multiLevelType w:val="hybridMultilevel"/>
    <w:tmpl w:val="5B4A8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F5CF1"/>
    <w:multiLevelType w:val="hybridMultilevel"/>
    <w:tmpl w:val="A61C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80DAB"/>
    <w:multiLevelType w:val="hybridMultilevel"/>
    <w:tmpl w:val="1D3834A8"/>
    <w:lvl w:ilvl="0" w:tplc="5A9C921E">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10E52"/>
    <w:multiLevelType w:val="hybridMultilevel"/>
    <w:tmpl w:val="041E2D32"/>
    <w:lvl w:ilvl="0" w:tplc="2EC0DAA2">
      <w:start w:val="1"/>
      <w:numFmt w:val="decimal"/>
      <w:lvlText w:val="%1."/>
      <w:lvlJc w:val="left"/>
      <w:pPr>
        <w:ind w:left="1080" w:hanging="72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84962"/>
    <w:multiLevelType w:val="hybridMultilevel"/>
    <w:tmpl w:val="07D6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186645">
    <w:abstractNumId w:val="1"/>
  </w:num>
  <w:num w:numId="2" w16cid:durableId="1532064945">
    <w:abstractNumId w:val="10"/>
  </w:num>
  <w:num w:numId="3" w16cid:durableId="907573219">
    <w:abstractNumId w:val="0"/>
  </w:num>
  <w:num w:numId="4" w16cid:durableId="1862237711">
    <w:abstractNumId w:val="11"/>
  </w:num>
  <w:num w:numId="5" w16cid:durableId="433015849">
    <w:abstractNumId w:val="2"/>
  </w:num>
  <w:num w:numId="6" w16cid:durableId="1658802470">
    <w:abstractNumId w:val="6"/>
  </w:num>
  <w:num w:numId="7" w16cid:durableId="472604258">
    <w:abstractNumId w:val="3"/>
  </w:num>
  <w:num w:numId="8" w16cid:durableId="83235429">
    <w:abstractNumId w:val="4"/>
  </w:num>
  <w:num w:numId="9" w16cid:durableId="1831600868">
    <w:abstractNumId w:val="8"/>
  </w:num>
  <w:num w:numId="10" w16cid:durableId="1066799595">
    <w:abstractNumId w:val="5"/>
  </w:num>
  <w:num w:numId="11" w16cid:durableId="567493777">
    <w:abstractNumId w:val="7"/>
  </w:num>
  <w:num w:numId="12" w16cid:durableId="1775128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50"/>
    <w:rsid w:val="0000411F"/>
    <w:rsid w:val="00024B88"/>
    <w:rsid w:val="0003707D"/>
    <w:rsid w:val="000810D4"/>
    <w:rsid w:val="00086544"/>
    <w:rsid w:val="00092C77"/>
    <w:rsid w:val="000B5D1A"/>
    <w:rsid w:val="000C0502"/>
    <w:rsid w:val="000D331F"/>
    <w:rsid w:val="000E3EE3"/>
    <w:rsid w:val="000E7199"/>
    <w:rsid w:val="000F19A3"/>
    <w:rsid w:val="00104E0F"/>
    <w:rsid w:val="00107BA1"/>
    <w:rsid w:val="00122A7B"/>
    <w:rsid w:val="001307BC"/>
    <w:rsid w:val="00130CA9"/>
    <w:rsid w:val="00170E96"/>
    <w:rsid w:val="001A1521"/>
    <w:rsid w:val="001B211E"/>
    <w:rsid w:val="001C450F"/>
    <w:rsid w:val="001E03A2"/>
    <w:rsid w:val="001E1D16"/>
    <w:rsid w:val="001E2A02"/>
    <w:rsid w:val="001E5185"/>
    <w:rsid w:val="001F2DB6"/>
    <w:rsid w:val="001F7FD6"/>
    <w:rsid w:val="002034B7"/>
    <w:rsid w:val="0020463B"/>
    <w:rsid w:val="00211DF4"/>
    <w:rsid w:val="00251D7C"/>
    <w:rsid w:val="00255322"/>
    <w:rsid w:val="00263E8B"/>
    <w:rsid w:val="002666DA"/>
    <w:rsid w:val="0027620B"/>
    <w:rsid w:val="00293BC3"/>
    <w:rsid w:val="00294D7E"/>
    <w:rsid w:val="00295AB6"/>
    <w:rsid w:val="00297315"/>
    <w:rsid w:val="002A6340"/>
    <w:rsid w:val="002D5989"/>
    <w:rsid w:val="002D611D"/>
    <w:rsid w:val="002E509D"/>
    <w:rsid w:val="00314A81"/>
    <w:rsid w:val="00320C69"/>
    <w:rsid w:val="003253F4"/>
    <w:rsid w:val="0034678E"/>
    <w:rsid w:val="0036561F"/>
    <w:rsid w:val="00366250"/>
    <w:rsid w:val="00367746"/>
    <w:rsid w:val="00373331"/>
    <w:rsid w:val="003A5D0D"/>
    <w:rsid w:val="003B62A7"/>
    <w:rsid w:val="003C060A"/>
    <w:rsid w:val="003C33AF"/>
    <w:rsid w:val="003D171C"/>
    <w:rsid w:val="003F1BCE"/>
    <w:rsid w:val="003F7B88"/>
    <w:rsid w:val="00400C41"/>
    <w:rsid w:val="004037F6"/>
    <w:rsid w:val="0043374F"/>
    <w:rsid w:val="004448E1"/>
    <w:rsid w:val="00454AC9"/>
    <w:rsid w:val="00455B87"/>
    <w:rsid w:val="00456C0B"/>
    <w:rsid w:val="00470B73"/>
    <w:rsid w:val="00471C2C"/>
    <w:rsid w:val="00492644"/>
    <w:rsid w:val="00493087"/>
    <w:rsid w:val="00497C90"/>
    <w:rsid w:val="00497E4D"/>
    <w:rsid w:val="004B61AE"/>
    <w:rsid w:val="004C055F"/>
    <w:rsid w:val="004D2D36"/>
    <w:rsid w:val="004D3D96"/>
    <w:rsid w:val="004E08DC"/>
    <w:rsid w:val="004F3F39"/>
    <w:rsid w:val="004F48EE"/>
    <w:rsid w:val="0050338D"/>
    <w:rsid w:val="005034C3"/>
    <w:rsid w:val="0051285A"/>
    <w:rsid w:val="00527427"/>
    <w:rsid w:val="005306CD"/>
    <w:rsid w:val="00530ADE"/>
    <w:rsid w:val="00533885"/>
    <w:rsid w:val="00547294"/>
    <w:rsid w:val="0056102F"/>
    <w:rsid w:val="00561548"/>
    <w:rsid w:val="005A6FD0"/>
    <w:rsid w:val="005B3722"/>
    <w:rsid w:val="005B4D45"/>
    <w:rsid w:val="005D3AA4"/>
    <w:rsid w:val="005D5192"/>
    <w:rsid w:val="005D5FC0"/>
    <w:rsid w:val="005F1CD1"/>
    <w:rsid w:val="005F50B4"/>
    <w:rsid w:val="006166EE"/>
    <w:rsid w:val="00617F0E"/>
    <w:rsid w:val="00620230"/>
    <w:rsid w:val="00632AF2"/>
    <w:rsid w:val="00632BB7"/>
    <w:rsid w:val="0064030D"/>
    <w:rsid w:val="00644E1D"/>
    <w:rsid w:val="00644FB2"/>
    <w:rsid w:val="00665902"/>
    <w:rsid w:val="006A26C3"/>
    <w:rsid w:val="006A6AFA"/>
    <w:rsid w:val="006B30FC"/>
    <w:rsid w:val="006B6125"/>
    <w:rsid w:val="006C541A"/>
    <w:rsid w:val="006C5ADA"/>
    <w:rsid w:val="006F040D"/>
    <w:rsid w:val="00706389"/>
    <w:rsid w:val="00713F37"/>
    <w:rsid w:val="00740C90"/>
    <w:rsid w:val="00744684"/>
    <w:rsid w:val="00747D71"/>
    <w:rsid w:val="00756F08"/>
    <w:rsid w:val="00764BC6"/>
    <w:rsid w:val="007733F3"/>
    <w:rsid w:val="00773836"/>
    <w:rsid w:val="00775892"/>
    <w:rsid w:val="0077775D"/>
    <w:rsid w:val="00785869"/>
    <w:rsid w:val="007D2A3B"/>
    <w:rsid w:val="007D6581"/>
    <w:rsid w:val="007E6308"/>
    <w:rsid w:val="007F379A"/>
    <w:rsid w:val="007F75EF"/>
    <w:rsid w:val="008075C4"/>
    <w:rsid w:val="00807BB8"/>
    <w:rsid w:val="00814177"/>
    <w:rsid w:val="00814999"/>
    <w:rsid w:val="008163FB"/>
    <w:rsid w:val="00823315"/>
    <w:rsid w:val="008470E7"/>
    <w:rsid w:val="00856351"/>
    <w:rsid w:val="00886DCD"/>
    <w:rsid w:val="008D0B0A"/>
    <w:rsid w:val="0090086C"/>
    <w:rsid w:val="00932747"/>
    <w:rsid w:val="009339AF"/>
    <w:rsid w:val="00942AA2"/>
    <w:rsid w:val="00943AE8"/>
    <w:rsid w:val="00947236"/>
    <w:rsid w:val="009561ED"/>
    <w:rsid w:val="009655E8"/>
    <w:rsid w:val="00965956"/>
    <w:rsid w:val="009771FF"/>
    <w:rsid w:val="0099049A"/>
    <w:rsid w:val="00997A47"/>
    <w:rsid w:val="009A0CDD"/>
    <w:rsid w:val="009B3CC4"/>
    <w:rsid w:val="009B6F87"/>
    <w:rsid w:val="009B78D7"/>
    <w:rsid w:val="009C0AED"/>
    <w:rsid w:val="009E41EB"/>
    <w:rsid w:val="009E7900"/>
    <w:rsid w:val="00A0008B"/>
    <w:rsid w:val="00A01A37"/>
    <w:rsid w:val="00A02F69"/>
    <w:rsid w:val="00A236F8"/>
    <w:rsid w:val="00A32A53"/>
    <w:rsid w:val="00A34F2A"/>
    <w:rsid w:val="00A36C0E"/>
    <w:rsid w:val="00A47862"/>
    <w:rsid w:val="00A649A3"/>
    <w:rsid w:val="00A70903"/>
    <w:rsid w:val="00A73680"/>
    <w:rsid w:val="00A747CA"/>
    <w:rsid w:val="00A84A00"/>
    <w:rsid w:val="00AA3D66"/>
    <w:rsid w:val="00AB0049"/>
    <w:rsid w:val="00AD4158"/>
    <w:rsid w:val="00AE0572"/>
    <w:rsid w:val="00AE0798"/>
    <w:rsid w:val="00AF6C49"/>
    <w:rsid w:val="00B14CBB"/>
    <w:rsid w:val="00B30157"/>
    <w:rsid w:val="00B37E6D"/>
    <w:rsid w:val="00B403AA"/>
    <w:rsid w:val="00B5510B"/>
    <w:rsid w:val="00B56766"/>
    <w:rsid w:val="00BA16DA"/>
    <w:rsid w:val="00BB073E"/>
    <w:rsid w:val="00BC1834"/>
    <w:rsid w:val="00BC6BCC"/>
    <w:rsid w:val="00BE465E"/>
    <w:rsid w:val="00BE4AF3"/>
    <w:rsid w:val="00BE4D0C"/>
    <w:rsid w:val="00BE526C"/>
    <w:rsid w:val="00BF0F7C"/>
    <w:rsid w:val="00BF580F"/>
    <w:rsid w:val="00BF5EA8"/>
    <w:rsid w:val="00C050A6"/>
    <w:rsid w:val="00C325C4"/>
    <w:rsid w:val="00C56B52"/>
    <w:rsid w:val="00C811D6"/>
    <w:rsid w:val="00C91A2A"/>
    <w:rsid w:val="00C91A59"/>
    <w:rsid w:val="00C94233"/>
    <w:rsid w:val="00C97E64"/>
    <w:rsid w:val="00CA3FA5"/>
    <w:rsid w:val="00CB04E1"/>
    <w:rsid w:val="00CB46A2"/>
    <w:rsid w:val="00CD3928"/>
    <w:rsid w:val="00CD577F"/>
    <w:rsid w:val="00CE0CC7"/>
    <w:rsid w:val="00CE2E37"/>
    <w:rsid w:val="00D1534C"/>
    <w:rsid w:val="00D17EC9"/>
    <w:rsid w:val="00D266FE"/>
    <w:rsid w:val="00D34903"/>
    <w:rsid w:val="00D34DF0"/>
    <w:rsid w:val="00D45BF5"/>
    <w:rsid w:val="00D47588"/>
    <w:rsid w:val="00D62FBE"/>
    <w:rsid w:val="00D63A7A"/>
    <w:rsid w:val="00D701A7"/>
    <w:rsid w:val="00D86558"/>
    <w:rsid w:val="00D915B3"/>
    <w:rsid w:val="00DC2AAC"/>
    <w:rsid w:val="00DD50B7"/>
    <w:rsid w:val="00DE3D89"/>
    <w:rsid w:val="00E02673"/>
    <w:rsid w:val="00E0309F"/>
    <w:rsid w:val="00E057C7"/>
    <w:rsid w:val="00E1200A"/>
    <w:rsid w:val="00E33124"/>
    <w:rsid w:val="00E50C22"/>
    <w:rsid w:val="00E568AF"/>
    <w:rsid w:val="00E715AA"/>
    <w:rsid w:val="00E91959"/>
    <w:rsid w:val="00EA43A2"/>
    <w:rsid w:val="00EC2A3F"/>
    <w:rsid w:val="00EC3E30"/>
    <w:rsid w:val="00ED3A15"/>
    <w:rsid w:val="00EF5109"/>
    <w:rsid w:val="00F034EF"/>
    <w:rsid w:val="00F0755E"/>
    <w:rsid w:val="00F12479"/>
    <w:rsid w:val="00F17764"/>
    <w:rsid w:val="00F311EC"/>
    <w:rsid w:val="00F364D7"/>
    <w:rsid w:val="00F4406B"/>
    <w:rsid w:val="00F47EC4"/>
    <w:rsid w:val="00F50052"/>
    <w:rsid w:val="00F73E34"/>
    <w:rsid w:val="00F81DCA"/>
    <w:rsid w:val="00FA5E83"/>
    <w:rsid w:val="00FA657E"/>
    <w:rsid w:val="00FC0F80"/>
    <w:rsid w:val="00FC4D03"/>
    <w:rsid w:val="00FE0A53"/>
    <w:rsid w:val="00FE430A"/>
    <w:rsid w:val="00FE58CF"/>
    <w:rsid w:val="00FF039A"/>
    <w:rsid w:val="00FF2D76"/>
    <w:rsid w:val="00FF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F5626"/>
  <w15:chartTrackingRefBased/>
  <w15:docId w15:val="{48DA62AA-8FF7-45D8-8DEB-5FA137E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4B7"/>
    <w:pPr>
      <w:spacing w:before="120" w:after="120"/>
    </w:pPr>
    <w:rPr>
      <w:rFonts w:ascii="Arial" w:eastAsia="Times New Roman" w:hAnsi="Arial" w:cs="Times New Roman"/>
      <w:sz w:val="20"/>
      <w:lang w:eastAsia="en-GB"/>
    </w:rPr>
  </w:style>
  <w:style w:type="paragraph" w:styleId="Heading1">
    <w:name w:val="heading 1"/>
    <w:basedOn w:val="Normal"/>
    <w:next w:val="Normal"/>
    <w:link w:val="Heading1Char"/>
    <w:uiPriority w:val="9"/>
    <w:rsid w:val="00C050A6"/>
    <w:pPr>
      <w:keepNext/>
      <w:keepLines/>
      <w:outlineLvl w:val="0"/>
    </w:pPr>
    <w:rPr>
      <w:rFonts w:asciiTheme="majorHAnsi" w:eastAsiaTheme="majorEastAsia" w:hAnsiTheme="majorHAnsi" w:cstheme="majorBidi"/>
      <w:b/>
      <w:color w:val="484D52" w:themeColor="text1"/>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15"/>
    <w:pPr>
      <w:tabs>
        <w:tab w:val="center" w:pos="4680"/>
        <w:tab w:val="right" w:pos="9360"/>
      </w:tabs>
    </w:pPr>
  </w:style>
  <w:style w:type="character" w:customStyle="1" w:styleId="HeaderChar">
    <w:name w:val="Header Char"/>
    <w:basedOn w:val="DefaultParagraphFont"/>
    <w:link w:val="Header"/>
    <w:uiPriority w:val="99"/>
    <w:rsid w:val="00297315"/>
  </w:style>
  <w:style w:type="paragraph" w:styleId="Footer">
    <w:name w:val="footer"/>
    <w:basedOn w:val="Normal"/>
    <w:link w:val="FooterChar"/>
    <w:uiPriority w:val="99"/>
    <w:unhideWhenUsed/>
    <w:rsid w:val="00297315"/>
    <w:pPr>
      <w:tabs>
        <w:tab w:val="center" w:pos="4680"/>
        <w:tab w:val="right" w:pos="9360"/>
      </w:tabs>
    </w:pPr>
  </w:style>
  <w:style w:type="character" w:customStyle="1" w:styleId="FooterChar">
    <w:name w:val="Footer Char"/>
    <w:basedOn w:val="DefaultParagraphFont"/>
    <w:link w:val="Footer"/>
    <w:uiPriority w:val="99"/>
    <w:rsid w:val="00297315"/>
  </w:style>
  <w:style w:type="paragraph" w:styleId="BalloonText">
    <w:name w:val="Balloon Text"/>
    <w:basedOn w:val="Normal"/>
    <w:link w:val="BalloonTextChar"/>
    <w:uiPriority w:val="99"/>
    <w:semiHidden/>
    <w:unhideWhenUsed/>
    <w:rsid w:val="002973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973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C050A6"/>
    <w:rPr>
      <w:rFonts w:asciiTheme="majorHAnsi" w:eastAsiaTheme="majorEastAsia" w:hAnsiTheme="majorHAnsi" w:cstheme="majorBidi"/>
      <w:b/>
      <w:color w:val="484D52" w:themeColor="text1"/>
      <w:sz w:val="20"/>
      <w:szCs w:val="32"/>
    </w:rPr>
  </w:style>
  <w:style w:type="paragraph" w:customStyle="1" w:styleId="body">
    <w:name w:val="body"/>
    <w:basedOn w:val="Normal"/>
    <w:autoRedefine/>
    <w:rsid w:val="00366250"/>
    <w:pPr>
      <w:spacing w:before="100" w:beforeAutospacing="1" w:after="100" w:afterAutospacing="1"/>
    </w:pPr>
  </w:style>
  <w:style w:type="paragraph" w:styleId="ListParagraph">
    <w:name w:val="List Paragraph"/>
    <w:basedOn w:val="Normal"/>
    <w:uiPriority w:val="34"/>
    <w:qFormat/>
    <w:rsid w:val="00366250"/>
    <w:pPr>
      <w:ind w:left="720"/>
      <w:contextualSpacing/>
    </w:pPr>
  </w:style>
  <w:style w:type="paragraph" w:customStyle="1" w:styleId="SUBHEADING">
    <w:name w:val="SUBHEADING"/>
    <w:autoRedefine/>
    <w:qFormat/>
    <w:rsid w:val="002034B7"/>
    <w:pPr>
      <w:spacing w:before="240" w:after="120"/>
    </w:pPr>
    <w:rPr>
      <w:rFonts w:ascii="Arial" w:eastAsia="Times New Roman" w:hAnsi="Arial" w:cs="Arial"/>
      <w:b/>
      <w:color w:val="484D52" w:themeColor="text1"/>
      <w:sz w:val="20"/>
      <w:szCs w:val="20"/>
      <w:lang w:eastAsia="en-GB"/>
    </w:rPr>
  </w:style>
  <w:style w:type="paragraph" w:customStyle="1" w:styleId="Header1-underline">
    <w:name w:val="Header 1 - underline"/>
    <w:autoRedefine/>
    <w:qFormat/>
    <w:rsid w:val="00644FB2"/>
    <w:pPr>
      <w:spacing w:before="100" w:beforeAutospacing="1" w:line="360" w:lineRule="auto"/>
    </w:pPr>
    <w:rPr>
      <w:rFonts w:ascii="Arial" w:eastAsia="Times New Roman" w:hAnsi="Arial" w:cs="Arial"/>
      <w:b/>
      <w:bCs/>
      <w:color w:val="00598E" w:themeColor="text2"/>
      <w:sz w:val="28"/>
      <w:szCs w:val="28"/>
      <w:u w:val="single" w:color="FF7232" w:themeColor="accent3"/>
      <w:lang w:eastAsia="en-GB"/>
    </w:rPr>
  </w:style>
  <w:style w:type="character" w:styleId="SubtleReference">
    <w:name w:val="Subtle Reference"/>
    <w:basedOn w:val="DefaultParagraphFont"/>
    <w:uiPriority w:val="31"/>
    <w:rsid w:val="00561548"/>
    <w:rPr>
      <w:smallCaps/>
      <w:color w:val="848B93" w:themeColor="text1" w:themeTint="A5"/>
    </w:rPr>
  </w:style>
  <w:style w:type="paragraph" w:customStyle="1" w:styleId="Subheader2">
    <w:name w:val="Subheader 2"/>
    <w:basedOn w:val="Normal"/>
    <w:next w:val="Normal"/>
    <w:qFormat/>
    <w:rsid w:val="003D171C"/>
    <w:rPr>
      <w:b/>
      <w:bCs/>
      <w:color w:val="00598E" w:themeColor="text2"/>
      <w:szCs w:val="20"/>
    </w:rPr>
  </w:style>
  <w:style w:type="paragraph" w:customStyle="1" w:styleId="HeaderText">
    <w:name w:val="HeaderText"/>
    <w:basedOn w:val="Normal"/>
    <w:link w:val="HeaderTextChar"/>
    <w:qFormat/>
    <w:rsid w:val="00D63A7A"/>
    <w:pPr>
      <w:spacing w:before="0" w:after="0"/>
      <w:ind w:hanging="425"/>
    </w:pPr>
    <w:rPr>
      <w:color w:val="4378A8" w:themeColor="accent2"/>
      <w:sz w:val="16"/>
      <w:szCs w:val="16"/>
    </w:rPr>
  </w:style>
  <w:style w:type="character" w:customStyle="1" w:styleId="HeaderTextChar">
    <w:name w:val="HeaderText Char"/>
    <w:basedOn w:val="DefaultParagraphFont"/>
    <w:link w:val="HeaderText"/>
    <w:rsid w:val="00D63A7A"/>
    <w:rPr>
      <w:rFonts w:ascii="Arial" w:eastAsia="Times New Roman" w:hAnsi="Arial" w:cs="Times New Roman"/>
      <w:color w:val="4378A8" w:themeColor="accent2"/>
      <w:sz w:val="16"/>
      <w:szCs w:val="16"/>
      <w:lang w:eastAsia="en-GB"/>
    </w:rPr>
  </w:style>
  <w:style w:type="paragraph" w:styleId="NormalWeb">
    <w:name w:val="Normal (Web)"/>
    <w:basedOn w:val="Normal"/>
    <w:uiPriority w:val="99"/>
    <w:semiHidden/>
    <w:unhideWhenUsed/>
    <w:rsid w:val="003B62A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B62A7"/>
    <w:rPr>
      <w:b/>
      <w:bCs/>
    </w:rPr>
  </w:style>
  <w:style w:type="character" w:styleId="Hyperlink">
    <w:name w:val="Hyperlink"/>
    <w:basedOn w:val="DefaultParagraphFont"/>
    <w:uiPriority w:val="99"/>
    <w:unhideWhenUsed/>
    <w:rsid w:val="006C541A"/>
    <w:rPr>
      <w:color w:val="4378A8" w:themeColor="hyperlink"/>
      <w:u w:val="single"/>
    </w:rPr>
  </w:style>
  <w:style w:type="character" w:styleId="UnresolvedMention">
    <w:name w:val="Unresolved Mention"/>
    <w:basedOn w:val="DefaultParagraphFont"/>
    <w:uiPriority w:val="99"/>
    <w:semiHidden/>
    <w:unhideWhenUsed/>
    <w:rsid w:val="006C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0853">
      <w:bodyDiv w:val="1"/>
      <w:marLeft w:val="0"/>
      <w:marRight w:val="0"/>
      <w:marTop w:val="0"/>
      <w:marBottom w:val="0"/>
      <w:divBdr>
        <w:top w:val="none" w:sz="0" w:space="0" w:color="auto"/>
        <w:left w:val="none" w:sz="0" w:space="0" w:color="auto"/>
        <w:bottom w:val="none" w:sz="0" w:space="0" w:color="auto"/>
        <w:right w:val="none" w:sz="0" w:space="0" w:color="auto"/>
      </w:divBdr>
    </w:div>
    <w:div w:id="1944917660">
      <w:bodyDiv w:val="1"/>
      <w:marLeft w:val="0"/>
      <w:marRight w:val="0"/>
      <w:marTop w:val="0"/>
      <w:marBottom w:val="0"/>
      <w:divBdr>
        <w:top w:val="none" w:sz="0" w:space="0" w:color="auto"/>
        <w:left w:val="none" w:sz="0" w:space="0" w:color="auto"/>
        <w:bottom w:val="none" w:sz="0" w:space="0" w:color="auto"/>
        <w:right w:val="none" w:sz="0" w:space="0" w:color="auto"/>
      </w:divBdr>
    </w:div>
    <w:div w:id="2107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nergynetworks.sharepoint.com/sites/EntryCustomerForum" TargetMode="External"/><Relationship Id="rId2" Type="http://schemas.openxmlformats.org/officeDocument/2006/relationships/customXml" Target="../customXml/item2.xml"/><Relationship Id="rId16" Type="http://schemas.openxmlformats.org/officeDocument/2006/relationships/hyperlink" Target="https://energynetworks.sharepoint.com/:w:/s/EntryCustomerForum/EY4w7gFJ0uFIuR8zZuW6ptwBepmATRy2DNuqQ0lBf7S2BQ?e=zkjy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nergynetworks.sharepoint.com/:p:/s/EntryCustomerForum/Eegc0B2sv-pAtvxLbXK3BS8BKuyunFSm419NOz3Kr2zLDA?e=YQG1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NA">
      <a:dk1>
        <a:srgbClr val="484D52"/>
      </a:dk1>
      <a:lt1>
        <a:sysClr val="window" lastClr="FFFFFF"/>
      </a:lt1>
      <a:dk2>
        <a:srgbClr val="00598E"/>
      </a:dk2>
      <a:lt2>
        <a:srgbClr val="A6ACA9"/>
      </a:lt2>
      <a:accent1>
        <a:srgbClr val="00598E"/>
      </a:accent1>
      <a:accent2>
        <a:srgbClr val="4378A8"/>
      </a:accent2>
      <a:accent3>
        <a:srgbClr val="FF7232"/>
      </a:accent3>
      <a:accent4>
        <a:srgbClr val="009FE3"/>
      </a:accent4>
      <a:accent5>
        <a:srgbClr val="FFE600"/>
      </a:accent5>
      <a:accent6>
        <a:srgbClr val="BECC00"/>
      </a:accent6>
      <a:hlink>
        <a:srgbClr val="4378A8"/>
      </a:hlink>
      <a:folHlink>
        <a:srgbClr val="437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9CB0D2B30E148A7988E9920D3A83D" ma:contentTypeVersion="2" ma:contentTypeDescription="Create a new document." ma:contentTypeScope="" ma:versionID="90e6ec2cff0b497f79987f237fad2873">
  <xsd:schema xmlns:xsd="http://www.w3.org/2001/XMLSchema" xmlns:xs="http://www.w3.org/2001/XMLSchema" xmlns:p="http://schemas.microsoft.com/office/2006/metadata/properties" xmlns:ns2="102eda4e-14e3-4302-a901-9cd880e34d68" targetNamespace="http://schemas.microsoft.com/office/2006/metadata/properties" ma:root="true" ma:fieldsID="d4a9b7dad84b1121b2b933e80eef4e66" ns2:_="">
    <xsd:import namespace="102eda4e-14e3-4302-a901-9cd880e34d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4e-14e3-4302-a901-9cd880e3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DE08-82CE-427F-855F-C72C22923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da4e-14e3-4302-a901-9cd880e3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8E2EC-CF12-47AA-BFE8-53DA19964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BAF70-47A2-4B26-8F8A-F74C692F4AB9}">
  <ds:schemaRefs>
    <ds:schemaRef ds:uri="http://schemas.microsoft.com/sharepoint/v3/contenttype/forms"/>
  </ds:schemaRefs>
</ds:datastoreItem>
</file>

<file path=customXml/itemProps4.xml><?xml version="1.0" encoding="utf-8"?>
<ds:datastoreItem xmlns:ds="http://schemas.openxmlformats.org/officeDocument/2006/customXml" ds:itemID="{17CC5D04-1A07-4347-8B6B-35DD604D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Rosenfeld</dc:creator>
  <cp:keywords/>
  <dc:description/>
  <cp:lastModifiedBy>Matt Rosenfeld</cp:lastModifiedBy>
  <cp:revision>211</cp:revision>
  <cp:lastPrinted>2020-10-16T10:33:00Z</cp:lastPrinted>
  <dcterms:created xsi:type="dcterms:W3CDTF">2022-11-16T17:12:00Z</dcterms:created>
  <dcterms:modified xsi:type="dcterms:W3CDTF">2023-09-28T12:37:00Z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0x010100C639CB0D2B30E148A7988E9920D3A83D</vt:lpwstr>
  </property>
</Properties>
</file>