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A69" w14:textId="24EC040F" w:rsidR="00D63A7A" w:rsidRPr="005D5FC0" w:rsidRDefault="00D877F2" w:rsidP="00D63A7A">
      <w:pPr>
        <w:pStyle w:val="Header1-underline"/>
      </w:pPr>
      <w:bookmarkStart w:id="0" w:name="TitleOfCommittee"/>
      <w:r>
        <w:t>Entry Customer Forum</w:t>
      </w:r>
    </w:p>
    <w:bookmarkEnd w:id="0"/>
    <w:p w14:paraId="3934E9E2" w14:textId="6DEAFB6F" w:rsidR="002034B7" w:rsidRPr="002034B7" w:rsidRDefault="002034B7" w:rsidP="002034B7">
      <w:pPr>
        <w:pStyle w:val="SUBHEADING"/>
      </w:pPr>
      <w:r w:rsidRPr="002034B7">
        <w:t>MINUTES</w:t>
      </w:r>
    </w:p>
    <w:bookmarkStart w:id="1" w:name="DateTime"/>
    <w:p w14:paraId="329F4CC4" w14:textId="732AB869" w:rsidR="0050338D" w:rsidRDefault="00834DE2" w:rsidP="003D171C">
      <w:pPr>
        <w:pStyle w:val="Subheader2"/>
      </w:pPr>
      <w:r>
        <w:fldChar w:fldCharType="begin"/>
      </w:r>
      <w:r>
        <w:instrText xml:space="preserve"> DATE  \@ "dddd dd MMMM yyyy" </w:instrText>
      </w:r>
      <w:r>
        <w:fldChar w:fldCharType="separate"/>
      </w:r>
      <w:r w:rsidR="00AC1158">
        <w:rPr>
          <w:noProof/>
        </w:rPr>
        <w:t>Tuesday 28 November 2023</w:t>
      </w:r>
      <w:r>
        <w:fldChar w:fldCharType="end"/>
      </w:r>
      <w:r w:rsidRPr="003C060A">
        <w:t xml:space="preserve"> at 1</w:t>
      </w:r>
      <w:r>
        <w:t>2</w:t>
      </w:r>
      <w:r w:rsidRPr="003C060A">
        <w:t>.</w:t>
      </w:r>
      <w:r>
        <w:t>3</w:t>
      </w:r>
      <w:r w:rsidRPr="003C060A">
        <w:t>0</w:t>
      </w:r>
      <w:r>
        <w:t>PM</w:t>
      </w:r>
      <w:r w:rsidRPr="003C060A">
        <w:t xml:space="preserve"> – </w:t>
      </w:r>
      <w:r>
        <w:t>2</w:t>
      </w:r>
      <w:r w:rsidRPr="003C060A">
        <w:t>.</w:t>
      </w:r>
      <w:r>
        <w:t>0</w:t>
      </w:r>
      <w:r w:rsidRPr="003C060A">
        <w:t>0</w:t>
      </w:r>
      <w:r>
        <w:t>PM</w:t>
      </w:r>
    </w:p>
    <w:bookmarkEnd w:id="1"/>
    <w:p w14:paraId="70236599" w14:textId="085CE96D" w:rsidR="00400C41" w:rsidRPr="003C060A" w:rsidRDefault="00400C41" w:rsidP="003D171C">
      <w:pPr>
        <w:pStyle w:val="Subheader2"/>
      </w:pPr>
      <w:r>
        <w:t>MS Teams Meeting</w:t>
      </w:r>
    </w:p>
    <w:p w14:paraId="18774A3A" w14:textId="405DCE06" w:rsidR="003D171C" w:rsidRPr="003D171C" w:rsidRDefault="002034B7" w:rsidP="00F4406B">
      <w:pPr>
        <w:pStyle w:val="SUBHEADING"/>
      </w:pPr>
      <w:r>
        <w:t>ATTENDEES</w:t>
      </w:r>
    </w:p>
    <w:tbl>
      <w:tblPr>
        <w:tblW w:w="8647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3534"/>
        <w:gridCol w:w="1516"/>
        <w:gridCol w:w="3597"/>
      </w:tblGrid>
      <w:tr w:rsidR="006A2B60" w:rsidRPr="00232395" w14:paraId="4559C69F" w14:textId="77777777" w:rsidTr="00AF777A">
        <w:trPr>
          <w:trHeight w:val="482"/>
        </w:trPr>
        <w:tc>
          <w:tcPr>
            <w:tcW w:w="3534" w:type="dxa"/>
            <w:shd w:val="clear" w:color="auto" w:fill="009FE3" w:themeFill="accent4"/>
            <w:vAlign w:val="center"/>
          </w:tcPr>
          <w:p w14:paraId="5C3BEECC" w14:textId="77777777" w:rsidR="006A2B60" w:rsidRPr="00232395" w:rsidRDefault="006A2B60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Name</w:t>
            </w:r>
          </w:p>
        </w:tc>
        <w:tc>
          <w:tcPr>
            <w:tcW w:w="1516" w:type="dxa"/>
            <w:shd w:val="clear" w:color="auto" w:fill="009FE3" w:themeFill="accent4"/>
            <w:vAlign w:val="center"/>
          </w:tcPr>
          <w:p w14:paraId="024500D3" w14:textId="77777777" w:rsidR="006A2B60" w:rsidRPr="00232395" w:rsidRDefault="006A2B60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Initials</w:t>
            </w:r>
          </w:p>
        </w:tc>
        <w:tc>
          <w:tcPr>
            <w:tcW w:w="3597" w:type="dxa"/>
            <w:shd w:val="clear" w:color="auto" w:fill="009FE3" w:themeFill="accent4"/>
            <w:vAlign w:val="center"/>
          </w:tcPr>
          <w:p w14:paraId="2C3D43AB" w14:textId="77777777" w:rsidR="006A2B60" w:rsidRPr="00232395" w:rsidRDefault="006A2B60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23239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Com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pany</w:t>
            </w:r>
          </w:p>
        </w:tc>
      </w:tr>
      <w:tr w:rsidR="006A2B60" w:rsidRPr="00232395" w14:paraId="6D4AF6DC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2025A7E4" w14:textId="77777777" w:rsidR="006A2B60" w:rsidRDefault="006A2B60" w:rsidP="002034B7">
            <w:r w:rsidRPr="003F18A0">
              <w:t>Flávio Ascenco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5FA69F68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FA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163E40D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ADBA</w:t>
            </w:r>
          </w:p>
        </w:tc>
      </w:tr>
      <w:tr w:rsidR="006A2B60" w:rsidRPr="00232395" w14:paraId="135E8844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FED45F0" w14:textId="77777777" w:rsidR="006A2B60" w:rsidRDefault="006A2B60" w:rsidP="002034B7">
            <w:r>
              <w:t>Wasundara Doradeniya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CA0F74E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WD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463C5390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ADBA</w:t>
            </w:r>
          </w:p>
        </w:tc>
      </w:tr>
      <w:tr w:rsidR="006A2B60" w:rsidRPr="00232395" w14:paraId="6ADE1111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2C9E6116" w14:textId="77777777" w:rsidR="006A2B60" w:rsidRDefault="006A2B60" w:rsidP="002034B7">
            <w:r>
              <w:t>James Smith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52FF4E4D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JS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276BBA7D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Advantage Biogas</w:t>
            </w:r>
          </w:p>
        </w:tc>
      </w:tr>
      <w:tr w:rsidR="006A2B60" w:rsidRPr="00232395" w14:paraId="7C10E881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441BA33" w14:textId="77777777" w:rsidR="006A2B60" w:rsidRDefault="006A2B60" w:rsidP="002034B7">
            <w:r>
              <w:t>Lee Firth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8912EA3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LF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4B70394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Biomethane Assist</w:t>
            </w:r>
          </w:p>
        </w:tc>
      </w:tr>
      <w:tr w:rsidR="006A2B60" w:rsidRPr="00232395" w14:paraId="44DF3FD3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2FB48F5B" w14:textId="77777777" w:rsidR="006A2B60" w:rsidRDefault="006A2B60" w:rsidP="002034B7">
            <w:r>
              <w:t>Harry Jones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CEC5E84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HJ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2F2BA3B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Bohr Limited</w:t>
            </w:r>
          </w:p>
        </w:tc>
      </w:tr>
      <w:tr w:rsidR="006A2B60" w:rsidRPr="00232395" w14:paraId="1984B206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43A06C0D" w14:textId="77777777" w:rsidR="006A2B60" w:rsidRDefault="006A2B60" w:rsidP="002034B7">
            <w:r>
              <w:t>Jadie Lawley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C5E05D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JL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E13D2A4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Cadent</w:t>
            </w:r>
          </w:p>
        </w:tc>
      </w:tr>
      <w:tr w:rsidR="006A2B60" w:rsidRPr="00232395" w14:paraId="291D877D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12AE5EDC" w14:textId="77777777" w:rsidR="006A2B60" w:rsidRDefault="006A2B60" w:rsidP="002034B7">
            <w:r>
              <w:t>Alison Cartwright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4679C6C2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AC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8CADA17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 Services</w:t>
            </w:r>
          </w:p>
        </w:tc>
      </w:tr>
      <w:tr w:rsidR="006A2B60" w:rsidRPr="00232395" w14:paraId="5459A538" w14:textId="77777777" w:rsidTr="003D171C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CE385CC" w14:textId="77777777" w:rsidR="006A2B60" w:rsidRDefault="006A2B60" w:rsidP="002034B7">
            <w:r>
              <w:t>John Baldwin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90D692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2849BC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 Services</w:t>
            </w:r>
          </w:p>
        </w:tc>
      </w:tr>
      <w:tr w:rsidR="006A2B60" w:rsidRPr="00232395" w14:paraId="3579BB14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E243375" w14:textId="77777777" w:rsidR="006A2B60" w:rsidRDefault="006A2B60" w:rsidP="002034B7">
            <w:r>
              <w:t>Matt Rosenfeld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DD6C860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MR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3D1DF8B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</w:tc>
      </w:tr>
      <w:tr w:rsidR="006A2B60" w:rsidRPr="00232395" w14:paraId="02750DE2" w14:textId="77777777" w:rsidTr="006A2B60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1A0AB11B" w14:textId="77777777" w:rsidR="006A2B60" w:rsidRDefault="006A2B60" w:rsidP="002034B7">
            <w:r>
              <w:t>Ian McCluskey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390D2F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IMC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2BB9CA3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IGEM</w:t>
            </w:r>
          </w:p>
        </w:tc>
      </w:tr>
      <w:tr w:rsidR="006A2B60" w:rsidRPr="00232395" w14:paraId="30B9059A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5FA24375" w14:textId="77777777" w:rsidR="006A2B60" w:rsidRDefault="006A2B60" w:rsidP="002034B7">
            <w:r>
              <w:t>Emmet McFadden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6F02CDB9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EMF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99B2A77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Mutual Energy</w:t>
            </w:r>
          </w:p>
        </w:tc>
      </w:tr>
      <w:tr w:rsidR="006A2B60" w:rsidRPr="00232395" w14:paraId="43B5DF7F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4518ADC7" w14:textId="77777777" w:rsidR="006A2B60" w:rsidRDefault="006A2B60" w:rsidP="002034B7">
            <w:r>
              <w:t>Ben Hanley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ECF740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BH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7A3D882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6A2B60" w:rsidRPr="00232395" w14:paraId="2E71855A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334BF709" w14:textId="77777777" w:rsidR="006A2B60" w:rsidRDefault="006A2B60" w:rsidP="002034B7">
            <w:r>
              <w:t>Daniel Laverick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0450DD54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DL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2D4796D0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6A2B60" w:rsidRPr="00232395" w14:paraId="2B94E662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541594BA" w14:textId="77777777" w:rsidR="006A2B60" w:rsidRDefault="006A2B60" w:rsidP="002034B7">
            <w:r>
              <w:rPr>
                <w:rFonts w:cs="Tahoma"/>
                <w:bCs/>
                <w:szCs w:val="20"/>
                <w:lang w:eastAsia="en-US"/>
              </w:rPr>
              <w:t>Peter Thomson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AF784E7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PT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4B269E2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NGN</w:t>
            </w:r>
          </w:p>
        </w:tc>
      </w:tr>
      <w:tr w:rsidR="006A2B60" w:rsidRPr="00232395" w14:paraId="0B8BA6F3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A570AEE" w14:textId="77777777" w:rsidR="006A2B60" w:rsidRDefault="006A2B60" w:rsidP="002034B7">
            <w:r>
              <w:t>Russell Brown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484B1152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02E44DD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nZero</w:t>
            </w:r>
          </w:p>
        </w:tc>
      </w:tr>
      <w:tr w:rsidR="006A2B60" w:rsidRPr="00232395" w14:paraId="1E3F59BA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07906A56" w14:textId="77777777" w:rsidR="006A2B60" w:rsidRDefault="006A2B60" w:rsidP="002034B7">
            <w:r>
              <w:t>Sara Bartle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A4C163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SB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3FDE4C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REA</w:t>
            </w:r>
          </w:p>
        </w:tc>
      </w:tr>
      <w:tr w:rsidR="006A2B60" w:rsidRPr="00232395" w14:paraId="6CB68FF6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7F61F275" w14:textId="77777777" w:rsidR="006A2B60" w:rsidRDefault="006A2B60" w:rsidP="002034B7">
            <w:r>
              <w:t>Andrew Brown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6B9F740D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ABr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F34192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6A2B60" w:rsidRPr="00232395" w14:paraId="061DE8FB" w14:textId="77777777" w:rsidTr="003A5D0D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32BDCE8C" w14:textId="77777777" w:rsidR="006A2B60" w:rsidRDefault="006A2B60" w:rsidP="002034B7">
            <w:r>
              <w:t>Elysia Roy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6A9A634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ER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559EE76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6A2B60" w:rsidRPr="00232395" w14:paraId="57381A9B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447F9CEE" w14:textId="77777777" w:rsidR="006A2B60" w:rsidRDefault="006A2B60" w:rsidP="002034B7">
            <w:r>
              <w:t>Hollie Easton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6EB435B1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HE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127CC256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6A2B60" w:rsidRPr="00232395" w14:paraId="01C309A1" w14:textId="77777777" w:rsidTr="006A2B60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1E61A372" w14:textId="77777777" w:rsidR="006A2B60" w:rsidRPr="00232395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lastRenderedPageBreak/>
              <w:t>Joel Martin (Chair)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2C81EEA" w14:textId="77777777" w:rsidR="006A2B60" w:rsidRPr="00232395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256A9F5" w14:textId="77777777" w:rsidR="006A2B60" w:rsidRPr="00232395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6A2B60" w:rsidRPr="00232395" w14:paraId="4505CDF5" w14:textId="77777777" w:rsidTr="003D171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32550F13" w14:textId="77777777" w:rsidR="006A2B60" w:rsidRDefault="006A2B60" w:rsidP="002034B7">
            <w:r>
              <w:t>Tony Gillespie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04301E7B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TG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450DFF3E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SGN</w:t>
            </w:r>
          </w:p>
        </w:tc>
      </w:tr>
      <w:tr w:rsidR="006A2B60" w:rsidRPr="00232395" w14:paraId="66AC8518" w14:textId="77777777" w:rsidTr="006A2B60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0ABB0114" w14:textId="77777777" w:rsidR="006A2B60" w:rsidRDefault="006A2B60" w:rsidP="002034B7">
            <w:r>
              <w:t>Matt Clarke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3252446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MC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2ED5A44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ST Green Power</w:t>
            </w:r>
          </w:p>
        </w:tc>
      </w:tr>
      <w:tr w:rsidR="006A2B60" w:rsidRPr="00232395" w14:paraId="6798988E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037AD1E0" w14:textId="77777777" w:rsidR="006A2B60" w:rsidRDefault="006A2B60" w:rsidP="002034B7">
            <w:r>
              <w:t>Andy Bidston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9D234ED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ABi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30452491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Thyson</w:t>
            </w:r>
          </w:p>
        </w:tc>
      </w:tr>
      <w:tr w:rsidR="006A2B60" w:rsidRPr="00232395" w14:paraId="4E6FCCF1" w14:textId="77777777" w:rsidTr="003D171C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4215D2B" w14:textId="77777777" w:rsidR="006A2B60" w:rsidRDefault="006A2B60" w:rsidP="002034B7">
            <w:r>
              <w:t>Charlotte Marcel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0035CD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CM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61CEAFC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WAGA</w:t>
            </w:r>
          </w:p>
        </w:tc>
      </w:tr>
      <w:tr w:rsidR="006A2B60" w:rsidRPr="00232395" w14:paraId="39C21413" w14:textId="77777777" w:rsidTr="006A2B60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32161C15" w14:textId="77777777" w:rsidR="006A2B60" w:rsidRDefault="006A2B60" w:rsidP="002034B7">
            <w:r>
              <w:t>Bethan Winter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15402600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BW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58FE95B5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WWU</w:t>
            </w:r>
          </w:p>
        </w:tc>
      </w:tr>
      <w:tr w:rsidR="006A2B60" w:rsidRPr="00232395" w14:paraId="7ED5FBAF" w14:textId="77777777" w:rsidTr="006A2B60">
        <w:trPr>
          <w:trHeight w:val="482"/>
        </w:trPr>
        <w:tc>
          <w:tcPr>
            <w:tcW w:w="3534" w:type="dxa"/>
            <w:shd w:val="clear" w:color="auto" w:fill="auto"/>
            <w:vAlign w:val="center"/>
          </w:tcPr>
          <w:p w14:paraId="6588F624" w14:textId="77777777" w:rsidR="006A2B60" w:rsidRDefault="006A2B60" w:rsidP="002034B7">
            <w:r>
              <w:t>Catherine Litster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257A9BB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CL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8173EEF" w14:textId="77777777" w:rsidR="006A2B60" w:rsidRDefault="006A2B60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WWU</w:t>
            </w:r>
          </w:p>
        </w:tc>
      </w:tr>
    </w:tbl>
    <w:p w14:paraId="09123847" w14:textId="4ED5E785" w:rsidR="002034B7" w:rsidRPr="002034B7" w:rsidRDefault="002034B7" w:rsidP="002034B7">
      <w:pPr>
        <w:pStyle w:val="SUBHEADING"/>
      </w:pPr>
      <w:r>
        <w:t>APOLOGIES</w:t>
      </w:r>
    </w:p>
    <w:tbl>
      <w:tblPr>
        <w:tblW w:w="8647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3534"/>
        <w:gridCol w:w="1516"/>
        <w:gridCol w:w="3597"/>
      </w:tblGrid>
      <w:tr w:rsidR="003D171C" w:rsidRPr="00232395" w14:paraId="6B23C90F" w14:textId="77777777" w:rsidTr="0035282C">
        <w:trPr>
          <w:trHeight w:val="482"/>
        </w:trPr>
        <w:tc>
          <w:tcPr>
            <w:tcW w:w="3534" w:type="dxa"/>
            <w:shd w:val="clear" w:color="auto" w:fill="009FE3" w:themeFill="accent4"/>
            <w:vAlign w:val="center"/>
          </w:tcPr>
          <w:p w14:paraId="7BF5DD31" w14:textId="24FC056A" w:rsidR="003D171C" w:rsidRPr="00232395" w:rsidRDefault="002034B7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Name</w:t>
            </w:r>
          </w:p>
        </w:tc>
        <w:tc>
          <w:tcPr>
            <w:tcW w:w="1516" w:type="dxa"/>
            <w:shd w:val="clear" w:color="auto" w:fill="009FE3" w:themeFill="accent4"/>
            <w:vAlign w:val="center"/>
          </w:tcPr>
          <w:p w14:paraId="22339FF5" w14:textId="77777777" w:rsidR="003D171C" w:rsidRPr="00232395" w:rsidRDefault="003D171C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Initials</w:t>
            </w:r>
          </w:p>
        </w:tc>
        <w:tc>
          <w:tcPr>
            <w:tcW w:w="3597" w:type="dxa"/>
            <w:shd w:val="clear" w:color="auto" w:fill="009FE3" w:themeFill="accent4"/>
            <w:vAlign w:val="center"/>
          </w:tcPr>
          <w:p w14:paraId="318C36EC" w14:textId="77777777" w:rsidR="003D171C" w:rsidRPr="00232395" w:rsidRDefault="003D171C" w:rsidP="0035282C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23239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Com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pany</w:t>
            </w:r>
          </w:p>
        </w:tc>
      </w:tr>
      <w:tr w:rsidR="003D171C" w:rsidRPr="00232395" w14:paraId="62BDBBFA" w14:textId="77777777" w:rsidTr="0035282C">
        <w:trPr>
          <w:trHeight w:val="482"/>
        </w:trPr>
        <w:tc>
          <w:tcPr>
            <w:tcW w:w="3534" w:type="dxa"/>
            <w:shd w:val="clear" w:color="auto" w:fill="E1F6FF"/>
            <w:vAlign w:val="center"/>
          </w:tcPr>
          <w:p w14:paraId="56E52FAC" w14:textId="0CF1E4F1" w:rsidR="003D171C" w:rsidRPr="00232395" w:rsidRDefault="003C4DE9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David Hurren</w:t>
            </w:r>
          </w:p>
        </w:tc>
        <w:tc>
          <w:tcPr>
            <w:tcW w:w="1516" w:type="dxa"/>
            <w:shd w:val="clear" w:color="auto" w:fill="E1F6FF"/>
            <w:vAlign w:val="center"/>
          </w:tcPr>
          <w:p w14:paraId="3162B0A1" w14:textId="14C25E38" w:rsidR="003D171C" w:rsidRPr="00232395" w:rsidRDefault="003C4DE9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DH</w:t>
            </w:r>
          </w:p>
        </w:tc>
        <w:tc>
          <w:tcPr>
            <w:tcW w:w="3597" w:type="dxa"/>
            <w:shd w:val="clear" w:color="auto" w:fill="E1F6FF"/>
            <w:vAlign w:val="center"/>
          </w:tcPr>
          <w:p w14:paraId="321ECD7B" w14:textId="3C031550" w:rsidR="003D171C" w:rsidRPr="00232395" w:rsidRDefault="000C7297" w:rsidP="002034B7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BCGA</w:t>
            </w:r>
          </w:p>
        </w:tc>
      </w:tr>
    </w:tbl>
    <w:p w14:paraId="7F18A747" w14:textId="77777777" w:rsidR="00547294" w:rsidRDefault="00547294" w:rsidP="00547294">
      <w:pPr>
        <w:pStyle w:val="Subheader2"/>
      </w:pPr>
    </w:p>
    <w:p w14:paraId="67712DC5" w14:textId="2855E6A2" w:rsidR="003D171C" w:rsidRDefault="001B5990" w:rsidP="00443A6D">
      <w:pPr>
        <w:pStyle w:val="SUBHEADING"/>
      </w:pPr>
      <w:fldSimple w:instr=" REF TitleOfCommittee  \* MERGEFORMAT "/>
      <w:r w:rsidR="00F4406B">
        <w:t>MEETING NOTES AND ACTIONS</w:t>
      </w: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2034B7" w:rsidRPr="00232395" w14:paraId="50D1F447" w14:textId="77777777" w:rsidTr="00D34903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00558ECE" w14:textId="479A0E08" w:rsidR="002034B7" w:rsidRPr="003A5D0D" w:rsidRDefault="003A5D0D" w:rsidP="003A5D0D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 w:rsidRPr="003A5D0D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2.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</w:t>
            </w:r>
            <w:r w:rsidR="004A52F8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Action Log Update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6D5429BC" w14:textId="6B2BACFF" w:rsidR="002034B7" w:rsidRPr="00232395" w:rsidRDefault="004A52F8" w:rsidP="0035282C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MR</w:t>
            </w:r>
          </w:p>
        </w:tc>
      </w:tr>
      <w:tr w:rsidR="002034B7" w:rsidRPr="00232395" w14:paraId="745F757F" w14:textId="77777777" w:rsidTr="00D34903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4AA8F260" w14:textId="7964794B" w:rsidR="00443A6D" w:rsidRDefault="00443A6D" w:rsidP="0035282C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The </w:t>
            </w:r>
            <w:r w:rsidR="00384D1E">
              <w:rPr>
                <w:rFonts w:cs="Tahoma"/>
                <w:bCs/>
                <w:szCs w:val="20"/>
                <w:lang w:eastAsia="en-US"/>
              </w:rPr>
              <w:t>forum’s</w:t>
            </w:r>
            <w:r>
              <w:rPr>
                <w:rFonts w:cs="Tahoma"/>
                <w:bCs/>
                <w:szCs w:val="20"/>
                <w:lang w:eastAsia="en-US"/>
              </w:rPr>
              <w:t xml:space="preserve"> action log was updated, noting that:</w:t>
            </w:r>
          </w:p>
          <w:p w14:paraId="282FB0B2" w14:textId="17B8914E" w:rsidR="00443A6D" w:rsidRDefault="006C0908" w:rsidP="00B8075F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The initial phases of commissioning for OptiNet </w:t>
            </w:r>
            <w:r w:rsidR="00D10DFA">
              <w:rPr>
                <w:rFonts w:cs="Tahoma"/>
                <w:bCs/>
                <w:szCs w:val="20"/>
                <w:lang w:eastAsia="en-US"/>
              </w:rPr>
              <w:t xml:space="preserve">were completed, however </w:t>
            </w:r>
            <w:r w:rsidR="00D4392C">
              <w:rPr>
                <w:rFonts w:cs="Tahoma"/>
                <w:bCs/>
                <w:szCs w:val="20"/>
                <w:lang w:eastAsia="en-US"/>
              </w:rPr>
              <w:t xml:space="preserve">Cadent were unable to fully commission the </w:t>
            </w:r>
            <w:r w:rsidR="00444F60">
              <w:rPr>
                <w:rFonts w:cs="Tahoma"/>
                <w:bCs/>
                <w:szCs w:val="20"/>
                <w:lang w:eastAsia="en-US"/>
              </w:rPr>
              <w:t>compressor until mid-February 2024. JL to catch up with AC offline to discuss what learnings could be shared at this point.</w:t>
            </w:r>
          </w:p>
          <w:p w14:paraId="4F40AE97" w14:textId="77777777" w:rsidR="00437A45" w:rsidRDefault="00437A45" w:rsidP="00437A45">
            <w:pPr>
              <w:pStyle w:val="ListParagraph"/>
              <w:rPr>
                <w:rFonts w:cs="Tahoma"/>
                <w:bCs/>
                <w:szCs w:val="20"/>
                <w:lang w:eastAsia="en-US"/>
              </w:rPr>
            </w:pPr>
          </w:p>
          <w:p w14:paraId="5DA989D6" w14:textId="15E22D88" w:rsidR="00437A45" w:rsidRDefault="00E70F14" w:rsidP="00437A45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GDNs were planning to host another SGS Refresher Course in late January/early February</w:t>
            </w:r>
            <w:r w:rsidR="0015526F">
              <w:rPr>
                <w:rFonts w:cs="Tahoma"/>
                <w:bCs/>
                <w:szCs w:val="20"/>
                <w:lang w:eastAsia="en-US"/>
              </w:rPr>
              <w:t xml:space="preserve"> 2024</w:t>
            </w:r>
            <w:r w:rsidR="00B66C91">
              <w:rPr>
                <w:rFonts w:cs="Tahoma"/>
                <w:bCs/>
                <w:szCs w:val="20"/>
                <w:lang w:eastAsia="en-US"/>
              </w:rPr>
              <w:t>, alongside other measures to reduce the number of SGS issues, e.g., issuing cylinder change checklists to sites, continued 1-2-1s etc.</w:t>
            </w:r>
          </w:p>
          <w:p w14:paraId="450E66F1" w14:textId="77777777" w:rsidR="00437A45" w:rsidRPr="00437A45" w:rsidRDefault="00437A45" w:rsidP="00437A45">
            <w:pPr>
              <w:pStyle w:val="ListParagraph"/>
              <w:rPr>
                <w:rFonts w:cs="Tahoma"/>
                <w:bCs/>
                <w:szCs w:val="20"/>
                <w:lang w:eastAsia="en-US"/>
              </w:rPr>
            </w:pPr>
          </w:p>
          <w:p w14:paraId="114738EC" w14:textId="06D011E7" w:rsidR="00F60C2F" w:rsidRPr="005A0629" w:rsidRDefault="00437A45" w:rsidP="0035282C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GDNs had decided that it would not be appropriate to include indicative costs in the standardised capacity study template. GDNs to </w:t>
            </w:r>
            <w:r w:rsidR="008762A3">
              <w:rPr>
                <w:rFonts w:cs="Tahoma"/>
                <w:bCs/>
                <w:szCs w:val="20"/>
                <w:lang w:eastAsia="en-US"/>
              </w:rPr>
              <w:t>agree a go-live date in December’s GECTWG meeting.</w:t>
            </w:r>
          </w:p>
        </w:tc>
      </w:tr>
    </w:tbl>
    <w:p w14:paraId="679F40A9" w14:textId="6CCC3DE1" w:rsidR="00FC0F14" w:rsidRDefault="00FC0F14" w:rsidP="002034B7">
      <w:pPr>
        <w:rPr>
          <w:rStyle w:val="SubtleReference"/>
          <w:smallCaps w:val="0"/>
          <w:color w:val="auto"/>
        </w:rPr>
      </w:pPr>
    </w:p>
    <w:p w14:paraId="726EC5AA" w14:textId="77777777" w:rsidR="00FC0F14" w:rsidRDefault="00FC0F14">
      <w:pPr>
        <w:spacing w:before="0" w:after="0"/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br w:type="page"/>
      </w: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D34903" w:rsidRPr="00232395" w14:paraId="6741E4DE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215DFAF4" w14:textId="34B2BBAD" w:rsidR="00D34903" w:rsidRPr="00232395" w:rsidRDefault="003A5D0D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lastRenderedPageBreak/>
              <w:t xml:space="preserve">3. </w:t>
            </w:r>
            <w:r w:rsidR="004A52F8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EnCF Action Plan Tracker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2D711BBD" w14:textId="106A109E" w:rsidR="00D34903" w:rsidRPr="00232395" w:rsidRDefault="004A52F8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JM</w:t>
            </w:r>
          </w:p>
        </w:tc>
      </w:tr>
      <w:tr w:rsidR="00D34903" w:rsidRPr="00232395" w14:paraId="2CBF9965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48599CE6" w14:textId="5266521C" w:rsidR="00FC0F14" w:rsidRPr="00384D1E" w:rsidRDefault="00384D1E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forum’s action plan tracker was updated, noting that:</w:t>
            </w:r>
          </w:p>
          <w:p w14:paraId="5215A2E3" w14:textId="04C278B6" w:rsidR="008E05A6" w:rsidRDefault="00856363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3B0CD6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CV Blips</w:t>
            </w:r>
            <w:r w:rsidR="008E05A6" w:rsidRPr="008E05A6">
              <w:rPr>
                <w:rFonts w:cs="Tahoma"/>
                <w:bCs/>
                <w:szCs w:val="20"/>
                <w:lang w:eastAsia="en-US"/>
              </w:rPr>
              <w:t xml:space="preserve"> (RB)</w:t>
            </w:r>
          </w:p>
          <w:p w14:paraId="328B55BF" w14:textId="688735BE" w:rsidR="00FC0F14" w:rsidRDefault="001B5933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RB had been approached by a few companies looking to implement the software change on-site.</w:t>
            </w:r>
            <w:r w:rsidR="008E05A6">
              <w:rPr>
                <w:rFonts w:cs="Tahoma"/>
                <w:bCs/>
                <w:szCs w:val="20"/>
                <w:lang w:eastAsia="en-US"/>
              </w:rPr>
              <w:t xml:space="preserve"> The solution may be implemented as a trial on an NGN or WWU site.</w:t>
            </w:r>
          </w:p>
          <w:p w14:paraId="096B8DD6" w14:textId="22A489B9" w:rsidR="008E05A6" w:rsidRDefault="003B0CD6" w:rsidP="009734BB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3B0CD6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Biomethane Blending</w:t>
            </w:r>
            <w:r w:rsidR="008E05A6" w:rsidRPr="008E05A6">
              <w:rPr>
                <w:rFonts w:cs="Tahoma"/>
                <w:bCs/>
                <w:szCs w:val="20"/>
                <w:lang w:eastAsia="en-US"/>
              </w:rPr>
              <w:t xml:space="preserve"> (JL)</w:t>
            </w:r>
          </w:p>
          <w:p w14:paraId="5A027292" w14:textId="786842A8" w:rsidR="00FC0F14" w:rsidRDefault="00C35B18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Cadent’s </w:t>
            </w:r>
            <w:r w:rsidR="008E05A6">
              <w:rPr>
                <w:rFonts w:cs="Tahoma"/>
                <w:bCs/>
                <w:szCs w:val="20"/>
                <w:lang w:eastAsia="en-US"/>
              </w:rPr>
              <w:t xml:space="preserve">one-page strategy </w:t>
            </w:r>
            <w:r>
              <w:rPr>
                <w:rFonts w:cs="Tahoma"/>
                <w:bCs/>
                <w:szCs w:val="20"/>
                <w:lang w:eastAsia="en-US"/>
              </w:rPr>
              <w:t xml:space="preserve">summary </w:t>
            </w:r>
            <w:r w:rsidR="008E05A6">
              <w:rPr>
                <w:rFonts w:cs="Tahoma"/>
                <w:bCs/>
                <w:szCs w:val="20"/>
                <w:lang w:eastAsia="en-US"/>
              </w:rPr>
              <w:t>document had been circulated</w:t>
            </w:r>
            <w:r>
              <w:rPr>
                <w:rFonts w:cs="Tahoma"/>
                <w:bCs/>
                <w:szCs w:val="20"/>
                <w:lang w:eastAsia="en-US"/>
              </w:rPr>
              <w:t xml:space="preserve"> to the group. All responses from potential blending sites had been received</w:t>
            </w:r>
            <w:r w:rsidR="008378F4">
              <w:rPr>
                <w:rFonts w:cs="Tahoma"/>
                <w:bCs/>
                <w:szCs w:val="20"/>
                <w:lang w:eastAsia="en-US"/>
              </w:rPr>
              <w:t xml:space="preserve">; the sites on which blending was not possible has been informed, and Cadent were dealing with the analysis on </w:t>
            </w:r>
            <w:r w:rsidR="00430F53">
              <w:rPr>
                <w:rFonts w:cs="Tahoma"/>
                <w:bCs/>
                <w:szCs w:val="20"/>
                <w:lang w:eastAsia="en-US"/>
              </w:rPr>
              <w:t>those sites which interacted with each other. The full strategy document would be circulated to the GDNs shortly.</w:t>
            </w:r>
          </w:p>
          <w:p w14:paraId="1F294BB4" w14:textId="7EDFFC15" w:rsidR="00C9613A" w:rsidRDefault="00C9613A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C9613A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SGS Issues</w:t>
            </w:r>
            <w:r w:rsidR="004D5C25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1374F4">
              <w:rPr>
                <w:rFonts w:cs="Tahoma"/>
                <w:bCs/>
                <w:szCs w:val="20"/>
                <w:lang w:eastAsia="en-US"/>
              </w:rPr>
              <w:t>(JM)</w:t>
            </w:r>
          </w:p>
          <w:p w14:paraId="29F8B552" w14:textId="03BAAF2F" w:rsidR="00FC0F14" w:rsidRPr="00FC0F14" w:rsidRDefault="002E2A0A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Update </w:t>
            </w:r>
            <w:r w:rsidR="001374F4">
              <w:rPr>
                <w:rFonts w:cs="Tahoma"/>
                <w:bCs/>
                <w:szCs w:val="20"/>
                <w:lang w:eastAsia="en-US"/>
              </w:rPr>
              <w:t xml:space="preserve">covered in </w:t>
            </w:r>
            <w:r w:rsidR="001374F4" w:rsidRPr="001374F4">
              <w:rPr>
                <w:rFonts w:cs="Tahoma"/>
                <w:bCs/>
                <w:i/>
                <w:iCs/>
                <w:szCs w:val="20"/>
                <w:lang w:eastAsia="en-US"/>
              </w:rPr>
              <w:t>Item 2. Action Log Update</w:t>
            </w:r>
            <w:r>
              <w:rPr>
                <w:rFonts w:cs="Tahoma"/>
                <w:bCs/>
                <w:i/>
                <w:iCs/>
                <w:szCs w:val="20"/>
                <w:lang w:eastAsia="en-US"/>
              </w:rPr>
              <w:t>.</w:t>
            </w:r>
            <w:r w:rsidRPr="002E2A0A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>
              <w:rPr>
                <w:rFonts w:cs="Tahoma"/>
                <w:bCs/>
                <w:szCs w:val="20"/>
                <w:lang w:eastAsia="en-US"/>
              </w:rPr>
              <w:br/>
            </w:r>
            <w:r w:rsidRPr="002E2A0A">
              <w:rPr>
                <w:rFonts w:cs="Tahoma"/>
                <w:bCs/>
                <w:szCs w:val="20"/>
                <w:lang w:eastAsia="en-US"/>
              </w:rPr>
              <w:t>N</w:t>
            </w:r>
            <w:r>
              <w:rPr>
                <w:rFonts w:cs="Tahoma"/>
                <w:bCs/>
                <w:szCs w:val="20"/>
                <w:lang w:eastAsia="en-US"/>
              </w:rPr>
              <w:t>ote links with CNG’s suggestion to review the Letter of Direction</w:t>
            </w:r>
            <w:r w:rsidR="00517075">
              <w:rPr>
                <w:rFonts w:cs="Tahoma"/>
                <w:bCs/>
                <w:szCs w:val="20"/>
                <w:lang w:eastAsia="en-US"/>
              </w:rPr>
              <w:t xml:space="preserve"> (</w:t>
            </w:r>
            <w:r w:rsidR="00517075" w:rsidRPr="00517075">
              <w:rPr>
                <w:rFonts w:cs="Tahoma"/>
                <w:bCs/>
                <w:i/>
                <w:iCs/>
                <w:szCs w:val="20"/>
                <w:lang w:eastAsia="en-US"/>
              </w:rPr>
              <w:t>Item 5b</w:t>
            </w:r>
            <w:r w:rsidR="00517075">
              <w:rPr>
                <w:rFonts w:cs="Tahoma"/>
                <w:bCs/>
                <w:szCs w:val="20"/>
                <w:lang w:eastAsia="en-US"/>
              </w:rPr>
              <w:t>)</w:t>
            </w:r>
            <w:r>
              <w:rPr>
                <w:rFonts w:cs="Tahoma"/>
                <w:bCs/>
                <w:szCs w:val="20"/>
                <w:lang w:eastAsia="en-US"/>
              </w:rPr>
              <w:t>, whence these issues arise.</w:t>
            </w:r>
          </w:p>
          <w:p w14:paraId="6CDD93C3" w14:textId="77777777" w:rsidR="00517075" w:rsidRDefault="004D5C25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4D5C25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ME2</w:t>
            </w:r>
            <w:r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517075">
              <w:rPr>
                <w:rFonts w:cs="Tahoma"/>
                <w:bCs/>
                <w:szCs w:val="20"/>
                <w:lang w:eastAsia="en-US"/>
              </w:rPr>
              <w:t>(BH)</w:t>
            </w:r>
          </w:p>
          <w:p w14:paraId="4993DADA" w14:textId="5C6B498B" w:rsidR="00FC0F14" w:rsidRDefault="003725C9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Document still w</w:t>
            </w:r>
            <w:r w:rsidR="004D5C25">
              <w:rPr>
                <w:rFonts w:cs="Tahoma"/>
                <w:bCs/>
                <w:szCs w:val="20"/>
                <w:lang w:eastAsia="en-US"/>
              </w:rPr>
              <w:t>ith Kelton for review</w:t>
            </w:r>
            <w:r>
              <w:rPr>
                <w:rFonts w:cs="Tahoma"/>
                <w:bCs/>
                <w:szCs w:val="20"/>
                <w:lang w:eastAsia="en-US"/>
              </w:rPr>
              <w:t xml:space="preserve">, with the </w:t>
            </w:r>
            <w:r w:rsidR="004D5C25">
              <w:rPr>
                <w:rFonts w:cs="Tahoma"/>
                <w:bCs/>
                <w:szCs w:val="20"/>
                <w:lang w:eastAsia="en-US"/>
              </w:rPr>
              <w:t>first draft due in new year</w:t>
            </w:r>
            <w:r>
              <w:rPr>
                <w:rFonts w:cs="Tahoma"/>
                <w:bCs/>
                <w:szCs w:val="20"/>
                <w:lang w:eastAsia="en-US"/>
              </w:rPr>
              <w:t>. The g</w:t>
            </w:r>
            <w:r w:rsidR="004D5C25">
              <w:rPr>
                <w:rFonts w:cs="Tahoma"/>
                <w:bCs/>
                <w:szCs w:val="20"/>
                <w:lang w:eastAsia="en-US"/>
              </w:rPr>
              <w:t xml:space="preserve">overnance document will remain in UNC, but the technical document will </w:t>
            </w:r>
            <w:r w:rsidR="00325B4F">
              <w:rPr>
                <w:rFonts w:cs="Tahoma"/>
                <w:bCs/>
                <w:szCs w:val="20"/>
                <w:lang w:eastAsia="en-US"/>
              </w:rPr>
              <w:t xml:space="preserve">move </w:t>
            </w:r>
            <w:r>
              <w:rPr>
                <w:rFonts w:cs="Tahoma"/>
                <w:bCs/>
                <w:szCs w:val="20"/>
                <w:lang w:eastAsia="en-US"/>
              </w:rPr>
              <w:t xml:space="preserve">away </w:t>
            </w:r>
            <w:r w:rsidR="00325B4F">
              <w:rPr>
                <w:rFonts w:cs="Tahoma"/>
                <w:bCs/>
                <w:szCs w:val="20"/>
                <w:lang w:eastAsia="en-US"/>
              </w:rPr>
              <w:t xml:space="preserve">from </w:t>
            </w:r>
            <w:r>
              <w:rPr>
                <w:rFonts w:cs="Tahoma"/>
                <w:bCs/>
                <w:szCs w:val="20"/>
                <w:lang w:eastAsia="en-US"/>
              </w:rPr>
              <w:t>J</w:t>
            </w:r>
            <w:r w:rsidR="00325B4F">
              <w:rPr>
                <w:rFonts w:cs="Tahoma"/>
                <w:bCs/>
                <w:szCs w:val="20"/>
                <w:lang w:eastAsia="en-US"/>
              </w:rPr>
              <w:t xml:space="preserve">oint </w:t>
            </w:r>
            <w:r>
              <w:rPr>
                <w:rFonts w:cs="Tahoma"/>
                <w:bCs/>
                <w:szCs w:val="20"/>
                <w:lang w:eastAsia="en-US"/>
              </w:rPr>
              <w:t>O</w:t>
            </w:r>
            <w:r w:rsidR="00325B4F">
              <w:rPr>
                <w:rFonts w:cs="Tahoma"/>
                <w:bCs/>
                <w:szCs w:val="20"/>
                <w:lang w:eastAsia="en-US"/>
              </w:rPr>
              <w:t>ffice ownership</w:t>
            </w:r>
            <w:r>
              <w:rPr>
                <w:rFonts w:cs="Tahoma"/>
                <w:bCs/>
                <w:szCs w:val="20"/>
                <w:lang w:eastAsia="en-US"/>
              </w:rPr>
              <w:t xml:space="preserve"> (to e.g., IGEM).</w:t>
            </w:r>
          </w:p>
          <w:p w14:paraId="1D4D1B6D" w14:textId="3359AAD7" w:rsidR="00325B4F" w:rsidRPr="003725C9" w:rsidRDefault="00D401F0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D401F0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Operator Competence Accreditation</w:t>
            </w:r>
            <w:r w:rsidR="003725C9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</w:t>
            </w:r>
            <w:r w:rsidR="003725C9">
              <w:rPr>
                <w:rFonts w:cs="Tahoma"/>
                <w:bCs/>
                <w:szCs w:val="20"/>
                <w:lang w:eastAsia="en-US"/>
              </w:rPr>
              <w:t>(n/a)</w:t>
            </w:r>
          </w:p>
          <w:p w14:paraId="50605A4D" w14:textId="6B81D832" w:rsidR="00FC0F14" w:rsidRDefault="003725C9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No update.</w:t>
            </w:r>
          </w:p>
          <w:p w14:paraId="78070609" w14:textId="6DDC643B" w:rsidR="003725C9" w:rsidRPr="00C6293D" w:rsidRDefault="00D401F0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D401F0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Review of Capacity Studies</w:t>
            </w:r>
            <w:r w:rsidR="00C6293D" w:rsidRPr="00C6293D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C6293D">
              <w:rPr>
                <w:rFonts w:cs="Tahoma"/>
                <w:bCs/>
                <w:szCs w:val="20"/>
                <w:lang w:eastAsia="en-US"/>
              </w:rPr>
              <w:t>(DN)</w:t>
            </w:r>
          </w:p>
          <w:p w14:paraId="2CD2A05A" w14:textId="3D528AE0" w:rsidR="003725C9" w:rsidRPr="00FC0F14" w:rsidRDefault="003725C9" w:rsidP="009734BB">
            <w:pPr>
              <w:rPr>
                <w:rFonts w:cs="Tahoma"/>
                <w:bCs/>
                <w:i/>
                <w:i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Update covered in </w:t>
            </w:r>
            <w:r w:rsidRPr="001374F4">
              <w:rPr>
                <w:rFonts w:cs="Tahoma"/>
                <w:bCs/>
                <w:i/>
                <w:iCs/>
                <w:szCs w:val="20"/>
                <w:lang w:eastAsia="en-US"/>
              </w:rPr>
              <w:t>Item 2. Action Log Update</w:t>
            </w:r>
            <w:r>
              <w:rPr>
                <w:rFonts w:cs="Tahoma"/>
                <w:bCs/>
                <w:i/>
                <w:iCs/>
                <w:szCs w:val="20"/>
                <w:lang w:eastAsia="en-US"/>
              </w:rPr>
              <w:t>.</w:t>
            </w:r>
          </w:p>
          <w:p w14:paraId="2C117A25" w14:textId="5F68B520" w:rsidR="00C6293D" w:rsidRPr="00C6293D" w:rsidRDefault="00A722C9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A722C9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In-Grid Compression</w:t>
            </w:r>
            <w:r w:rsidR="00C6293D">
              <w:rPr>
                <w:rFonts w:cs="Tahoma"/>
                <w:bCs/>
                <w:szCs w:val="20"/>
                <w:lang w:eastAsia="en-US"/>
              </w:rPr>
              <w:t xml:space="preserve"> (AC)</w:t>
            </w:r>
          </w:p>
          <w:p w14:paraId="2FD489FE" w14:textId="0B7D69CF" w:rsidR="00FC0F14" w:rsidRPr="00045735" w:rsidRDefault="007C615A" w:rsidP="009734BB">
            <w:pPr>
              <w:rPr>
                <w:rFonts w:cs="Tahoma"/>
                <w:bCs/>
                <w:i/>
                <w:i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UNC Mod 808 had been accepted.</w:t>
            </w:r>
            <w:r w:rsidR="00045735">
              <w:rPr>
                <w:rFonts w:cs="Tahoma"/>
                <w:bCs/>
                <w:szCs w:val="20"/>
                <w:lang w:eastAsia="en-US"/>
              </w:rPr>
              <w:br/>
            </w:r>
            <w:r w:rsidR="00045735">
              <w:rPr>
                <w:rFonts w:cs="Tahoma"/>
                <w:bCs/>
                <w:i/>
                <w:iCs/>
                <w:szCs w:val="20"/>
                <w:lang w:eastAsia="en-US"/>
              </w:rPr>
              <w:t>To remove from the Action Plan and instate as a standing item, to cover any updates to Cadent and WWU’s compression projects.</w:t>
            </w:r>
          </w:p>
          <w:p w14:paraId="4E99EDA7" w14:textId="06D17253" w:rsidR="00045735" w:rsidRPr="009B5DAF" w:rsidRDefault="00077E40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077E40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Capacity/Low Flow through NTS Meters</w:t>
            </w:r>
            <w:r w:rsidR="009B5DAF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 xml:space="preserve"> </w:t>
            </w:r>
            <w:r w:rsidR="009B5DAF">
              <w:rPr>
                <w:rFonts w:cs="Tahoma"/>
                <w:bCs/>
                <w:szCs w:val="20"/>
                <w:lang w:eastAsia="en-US"/>
              </w:rPr>
              <w:t>(AC)</w:t>
            </w:r>
          </w:p>
          <w:p w14:paraId="37EF2D1D" w14:textId="2D3EE66C" w:rsidR="00FC0F14" w:rsidRPr="00FD3391" w:rsidRDefault="00A210C3" w:rsidP="00A210C3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Cadent</w:t>
            </w:r>
            <w:r w:rsidR="00817859">
              <w:rPr>
                <w:rFonts w:cs="Tahoma"/>
                <w:bCs/>
                <w:szCs w:val="20"/>
                <w:lang w:eastAsia="en-US"/>
              </w:rPr>
              <w:t xml:space="preserve"> were looking to add metering upgrade investments into their RIIO-GD3 plans</w:t>
            </w:r>
            <w:r>
              <w:rPr>
                <w:rFonts w:cs="Tahoma"/>
                <w:bCs/>
                <w:szCs w:val="20"/>
                <w:lang w:eastAsia="en-US"/>
              </w:rPr>
              <w:t xml:space="preserve">. Additionally, Cadent were submitting </w:t>
            </w:r>
            <w:r w:rsidR="00505C5C">
              <w:rPr>
                <w:rFonts w:cs="Tahoma"/>
                <w:bCs/>
                <w:szCs w:val="20"/>
                <w:lang w:eastAsia="en-US"/>
              </w:rPr>
              <w:t xml:space="preserve">a number of capacity-related problem statements into the ENA Energy Innovation Basecamp 2024, </w:t>
            </w:r>
            <w:r w:rsidR="00C76070" w:rsidRPr="00C76070">
              <w:rPr>
                <w:rFonts w:cs="Tahoma"/>
                <w:bCs/>
                <w:i/>
                <w:iCs/>
                <w:szCs w:val="20"/>
                <w:lang w:eastAsia="en-US"/>
              </w:rPr>
              <w:t>see Item 5b.</w:t>
            </w:r>
            <w:r w:rsidR="00C76070">
              <w:rPr>
                <w:rFonts w:cs="Tahoma"/>
                <w:bCs/>
                <w:i/>
                <w:iCs/>
                <w:szCs w:val="20"/>
                <w:lang w:eastAsia="en-US"/>
              </w:rPr>
              <w:t xml:space="preserve"> </w:t>
            </w:r>
            <w:r w:rsidR="00C76070">
              <w:rPr>
                <w:rFonts w:cs="Tahoma"/>
                <w:bCs/>
                <w:szCs w:val="20"/>
                <w:lang w:eastAsia="en-US"/>
              </w:rPr>
              <w:t>WWU were actioning this issue by looking at valving off parts of the network during low-demand periods (possible due to the design of the network).</w:t>
            </w:r>
          </w:p>
          <w:p w14:paraId="404785AE" w14:textId="77777777" w:rsidR="00FD3391" w:rsidRDefault="002C5119" w:rsidP="00A210C3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2C5119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Gas Entry via IGT Pipelines</w:t>
            </w:r>
            <w:r w:rsidR="00FD3391" w:rsidRPr="00FD3391">
              <w:rPr>
                <w:rFonts w:cs="Tahoma"/>
                <w:bCs/>
                <w:szCs w:val="20"/>
                <w:lang w:eastAsia="en-US"/>
              </w:rPr>
              <w:t xml:space="preserve"> (JM)</w:t>
            </w:r>
          </w:p>
          <w:p w14:paraId="65F6163A" w14:textId="57CD7307" w:rsidR="00FC0F14" w:rsidRPr="00542214" w:rsidRDefault="00FD3391" w:rsidP="00A210C3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 </w:t>
            </w:r>
            <w:r w:rsidR="00542214">
              <w:rPr>
                <w:rFonts w:cs="Tahoma"/>
                <w:bCs/>
                <w:szCs w:val="20"/>
                <w:lang w:eastAsia="en-US"/>
              </w:rPr>
              <w:t xml:space="preserve">linked/mirrored IGT-UNC Mod </w:t>
            </w:r>
            <w:r>
              <w:rPr>
                <w:rFonts w:cs="Tahoma"/>
                <w:bCs/>
                <w:szCs w:val="20"/>
                <w:lang w:eastAsia="en-US"/>
              </w:rPr>
              <w:t xml:space="preserve">had </w:t>
            </w:r>
            <w:r w:rsidR="00542214">
              <w:rPr>
                <w:rFonts w:cs="Tahoma"/>
                <w:bCs/>
                <w:szCs w:val="20"/>
                <w:lang w:eastAsia="en-US"/>
              </w:rPr>
              <w:t xml:space="preserve">also </w:t>
            </w:r>
            <w:r>
              <w:rPr>
                <w:rFonts w:cs="Tahoma"/>
                <w:bCs/>
                <w:szCs w:val="20"/>
                <w:lang w:eastAsia="en-US"/>
              </w:rPr>
              <w:t xml:space="preserve">been </w:t>
            </w:r>
            <w:r w:rsidR="00542214">
              <w:rPr>
                <w:rFonts w:cs="Tahoma"/>
                <w:bCs/>
                <w:szCs w:val="20"/>
                <w:lang w:eastAsia="en-US"/>
              </w:rPr>
              <w:t>r</w:t>
            </w:r>
            <w:r w:rsidR="00663A32">
              <w:rPr>
                <w:rFonts w:cs="Tahoma"/>
                <w:bCs/>
                <w:szCs w:val="20"/>
                <w:lang w:eastAsia="en-US"/>
              </w:rPr>
              <w:t>a</w:t>
            </w:r>
            <w:r w:rsidR="00542214">
              <w:rPr>
                <w:rFonts w:cs="Tahoma"/>
                <w:bCs/>
                <w:szCs w:val="20"/>
                <w:lang w:eastAsia="en-US"/>
              </w:rPr>
              <w:t>ised</w:t>
            </w:r>
            <w:r>
              <w:rPr>
                <w:rFonts w:cs="Tahoma"/>
                <w:bCs/>
                <w:szCs w:val="20"/>
                <w:lang w:eastAsia="en-US"/>
              </w:rPr>
              <w:t xml:space="preserve">; </w:t>
            </w:r>
            <w:r w:rsidR="00663A32">
              <w:rPr>
                <w:rFonts w:cs="Tahoma"/>
                <w:bCs/>
                <w:szCs w:val="20"/>
                <w:lang w:eastAsia="en-US"/>
              </w:rPr>
              <w:t xml:space="preserve">Mod 842 was </w:t>
            </w:r>
            <w:r>
              <w:rPr>
                <w:rFonts w:cs="Tahoma"/>
                <w:bCs/>
                <w:szCs w:val="20"/>
                <w:lang w:eastAsia="en-US"/>
              </w:rPr>
              <w:t xml:space="preserve">looking </w:t>
            </w:r>
            <w:r w:rsidR="00663A32">
              <w:rPr>
                <w:rFonts w:cs="Tahoma"/>
                <w:bCs/>
                <w:szCs w:val="20"/>
                <w:lang w:eastAsia="en-US"/>
              </w:rPr>
              <w:t xml:space="preserve">to go to the </w:t>
            </w:r>
            <w:r w:rsidR="005B32B9">
              <w:rPr>
                <w:rFonts w:cs="Tahoma"/>
                <w:bCs/>
                <w:szCs w:val="20"/>
                <w:lang w:eastAsia="en-US"/>
              </w:rPr>
              <w:t xml:space="preserve">UNC Panel in December for </w:t>
            </w:r>
            <w:r w:rsidR="00663A32">
              <w:rPr>
                <w:rFonts w:cs="Tahoma"/>
                <w:bCs/>
                <w:szCs w:val="20"/>
                <w:lang w:eastAsia="en-US"/>
              </w:rPr>
              <w:t xml:space="preserve">a </w:t>
            </w:r>
            <w:r w:rsidR="005B32B9">
              <w:rPr>
                <w:rFonts w:cs="Tahoma"/>
                <w:bCs/>
                <w:szCs w:val="20"/>
                <w:lang w:eastAsia="en-US"/>
              </w:rPr>
              <w:t>decision</w:t>
            </w:r>
            <w:r w:rsidR="00663A32">
              <w:rPr>
                <w:rFonts w:cs="Tahoma"/>
                <w:bCs/>
                <w:szCs w:val="20"/>
                <w:lang w:eastAsia="en-US"/>
              </w:rPr>
              <w:t xml:space="preserve"> (more details available on the Joint Office website).</w:t>
            </w:r>
          </w:p>
        </w:tc>
      </w:tr>
    </w:tbl>
    <w:p w14:paraId="1D3F18BA" w14:textId="77777777" w:rsidR="00C76070" w:rsidRDefault="00C76070">
      <w:pPr>
        <w:spacing w:before="0" w:after="0"/>
        <w:rPr>
          <w:rStyle w:val="SubtleReference"/>
          <w:smallCaps w:val="0"/>
          <w:color w:val="auto"/>
        </w:rPr>
      </w:pPr>
    </w:p>
    <w:p w14:paraId="04D3A0D5" w14:textId="0E703621" w:rsidR="00FC0F14" w:rsidRDefault="00FC0F14">
      <w:pPr>
        <w:spacing w:before="0" w:after="0"/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br w:type="page"/>
      </w: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D34903" w:rsidRPr="00232395" w14:paraId="0A361669" w14:textId="77777777" w:rsidTr="009734BB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5625547E" w14:textId="6CBD3654" w:rsidR="00D34903" w:rsidRPr="00232395" w:rsidRDefault="003A5D0D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lastRenderedPageBreak/>
              <w:t>4</w:t>
            </w:r>
            <w:r w:rsidR="004A52F8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. </w:t>
            </w:r>
            <w:r w:rsidR="004A52F8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Standing Item: </w:t>
            </w:r>
            <w:r w:rsidR="00CD0BE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Commercial </w:t>
            </w:r>
            <w:r w:rsidR="004A52F8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Propane Quality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712742AF" w14:textId="562B3AB3" w:rsidR="00D34903" w:rsidRPr="00232395" w:rsidRDefault="004B7CFA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IMC</w:t>
            </w:r>
          </w:p>
        </w:tc>
      </w:tr>
      <w:tr w:rsidR="00D34903" w:rsidRPr="00232395" w14:paraId="0746D9DB" w14:textId="77777777" w:rsidTr="009734BB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58065DBC" w14:textId="00FCA0EF" w:rsidR="0043329A" w:rsidRDefault="004E2CB9" w:rsidP="009734BB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Gas Utilisation Committee and Gas Distribution Transmission Committee were reviewing RB’s report on contamination caused by heavies in propane. No comments yet to feed back to the EnCF.</w:t>
            </w:r>
          </w:p>
        </w:tc>
      </w:tr>
    </w:tbl>
    <w:p w14:paraId="3CA9B8DA" w14:textId="37F0CC08" w:rsidR="00D34903" w:rsidRDefault="00D34903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4A52F8" w:rsidRPr="00232395" w14:paraId="09012514" w14:textId="77777777" w:rsidTr="007A4239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1857AF3A" w14:textId="66EA65BD" w:rsidR="004A52F8" w:rsidRPr="00232395" w:rsidRDefault="004A52F8" w:rsidP="007A4239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4</w:t>
            </w:r>
            <w:r w:rsidR="006D03DF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b.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Standing Ite</w:t>
            </w:r>
            <w:r w:rsidR="006D03DF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m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: GS(M)R Amendments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76E9F8F7" w14:textId="14EA2FB1" w:rsidR="004A52F8" w:rsidRPr="00232395" w:rsidRDefault="006D03DF" w:rsidP="007A4239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ALL</w:t>
            </w:r>
          </w:p>
        </w:tc>
      </w:tr>
      <w:tr w:rsidR="004A52F8" w:rsidRPr="00232395" w14:paraId="4935450F" w14:textId="77777777" w:rsidTr="007A4239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0BF821CC" w14:textId="414B677F" w:rsidR="004A52F8" w:rsidRDefault="004E2CB9" w:rsidP="00B17446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GDNs were still working through the procedures necessary to make updates to the SI, ICF, Relative Density and Wobbe </w:t>
            </w:r>
            <w:r w:rsidR="00B17446">
              <w:rPr>
                <w:rFonts w:cs="Tahoma"/>
                <w:bCs/>
                <w:szCs w:val="20"/>
                <w:lang w:eastAsia="en-US"/>
              </w:rPr>
              <w:t>number (the latter being the most involved). GDNs to keep the group informed of any updates.</w:t>
            </w:r>
            <w:r w:rsidR="000E5865">
              <w:rPr>
                <w:rFonts w:cs="Tahoma"/>
                <w:bCs/>
                <w:szCs w:val="20"/>
                <w:lang w:eastAsia="en-US"/>
              </w:rPr>
              <w:t xml:space="preserve"> </w:t>
            </w:r>
          </w:p>
        </w:tc>
      </w:tr>
    </w:tbl>
    <w:p w14:paraId="6DB641A7" w14:textId="77777777" w:rsidR="004A52F8" w:rsidRDefault="004A52F8" w:rsidP="004A52F8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1273"/>
        <w:gridCol w:w="6804"/>
        <w:gridCol w:w="1701"/>
      </w:tblGrid>
      <w:tr w:rsidR="00D34903" w:rsidRPr="00232395" w14:paraId="48371CB4" w14:textId="77777777" w:rsidTr="009734BB">
        <w:trPr>
          <w:trHeight w:val="482"/>
        </w:trPr>
        <w:tc>
          <w:tcPr>
            <w:tcW w:w="8077" w:type="dxa"/>
            <w:gridSpan w:val="2"/>
            <w:shd w:val="clear" w:color="auto" w:fill="009FE3" w:themeFill="accent4"/>
            <w:vAlign w:val="center"/>
          </w:tcPr>
          <w:p w14:paraId="6A5ED1F4" w14:textId="58C7F195" w:rsidR="00D34903" w:rsidRPr="00232395" w:rsidRDefault="003A5D0D" w:rsidP="009734BB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5</w:t>
            </w:r>
            <w:r w:rsidR="00CD0BE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.</w:t>
            </w:r>
            <w:r w:rsidR="00CD0BE5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Communication from DFOs: </w:t>
            </w:r>
            <w:r w:rsidR="006D03DF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Data on Gas Flared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52A9693D" w14:textId="570CC079" w:rsidR="00D34903" w:rsidRPr="00232395" w:rsidRDefault="006D03DF" w:rsidP="009734BB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ADBA</w:t>
            </w:r>
          </w:p>
        </w:tc>
      </w:tr>
      <w:tr w:rsidR="00D34903" w:rsidRPr="00232395" w14:paraId="2BDB490F" w14:textId="77777777" w:rsidTr="009734BB">
        <w:trPr>
          <w:trHeight w:val="482"/>
        </w:trPr>
        <w:tc>
          <w:tcPr>
            <w:tcW w:w="9778" w:type="dxa"/>
            <w:gridSpan w:val="3"/>
            <w:shd w:val="clear" w:color="auto" w:fill="E1F6FF"/>
            <w:vAlign w:val="center"/>
          </w:tcPr>
          <w:p w14:paraId="0555138A" w14:textId="06C958BA" w:rsidR="00D44265" w:rsidRPr="002F3CF0" w:rsidRDefault="006E7936" w:rsidP="006E7936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Based on discussions with DESNZ, </w:t>
            </w:r>
            <w:r w:rsidR="00B17446">
              <w:rPr>
                <w:rFonts w:cs="Tahoma"/>
                <w:bCs/>
                <w:szCs w:val="20"/>
                <w:lang w:eastAsia="en-US"/>
              </w:rPr>
              <w:t>ADBA</w:t>
            </w:r>
            <w:r>
              <w:rPr>
                <w:rFonts w:cs="Tahoma"/>
                <w:bCs/>
                <w:szCs w:val="20"/>
                <w:lang w:eastAsia="en-US"/>
              </w:rPr>
              <w:t xml:space="preserve"> had shared a questionnaire in their newsletter and wider comms on quantifying the amount of gas flared as a result of CV and capacity issues. </w:t>
            </w:r>
            <w:r w:rsidR="00283F84">
              <w:rPr>
                <w:rFonts w:cs="Tahoma"/>
                <w:bCs/>
                <w:szCs w:val="20"/>
                <w:lang w:eastAsia="en-US"/>
              </w:rPr>
              <w:t xml:space="preserve">Please </w:t>
            </w:r>
            <w:r w:rsidR="00132AFE">
              <w:rPr>
                <w:rFonts w:cs="Tahoma"/>
                <w:bCs/>
                <w:szCs w:val="20"/>
                <w:lang w:eastAsia="en-US"/>
              </w:rPr>
              <w:t xml:space="preserve">reach out to WD directly with any information </w:t>
            </w:r>
            <w:r w:rsidR="00283F84">
              <w:rPr>
                <w:rFonts w:cs="Tahoma"/>
                <w:bCs/>
                <w:szCs w:val="20"/>
                <w:lang w:eastAsia="en-US"/>
              </w:rPr>
              <w:t>or further questions.</w:t>
            </w:r>
          </w:p>
        </w:tc>
      </w:tr>
      <w:tr w:rsidR="00D34903" w:rsidRPr="00232395" w14:paraId="51D6666C" w14:textId="77777777" w:rsidTr="009734BB">
        <w:trPr>
          <w:trHeight w:val="482"/>
        </w:trPr>
        <w:tc>
          <w:tcPr>
            <w:tcW w:w="1273" w:type="dxa"/>
            <w:shd w:val="clear" w:color="auto" w:fill="auto"/>
            <w:vAlign w:val="center"/>
          </w:tcPr>
          <w:p w14:paraId="168E9992" w14:textId="77777777" w:rsidR="00D34903" w:rsidRDefault="00D34903" w:rsidP="009734BB">
            <w:pPr>
              <w:pStyle w:val="Subheader2"/>
            </w:pPr>
            <w:r>
              <w:t>Actions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A636B3" w14:textId="3CE2E94D" w:rsidR="00D34903" w:rsidRPr="002F3CF0" w:rsidRDefault="002F3CF0" w:rsidP="009734BB">
            <w:pPr>
              <w:rPr>
                <w:rFonts w:cs="Tahoma"/>
                <w:bCs/>
                <w:szCs w:val="20"/>
                <w:lang w:eastAsia="en-US"/>
              </w:rPr>
            </w:pPr>
            <w:r w:rsidRPr="002F3CF0">
              <w:rPr>
                <w:rFonts w:cs="Tahoma"/>
                <w:bCs/>
                <w:szCs w:val="20"/>
                <w:lang w:eastAsia="en-US"/>
              </w:rPr>
              <w:t>ADBA to report back to the forum on results from their “Data on Gas Flared” questionnaire when available.</w:t>
            </w:r>
          </w:p>
        </w:tc>
        <w:tc>
          <w:tcPr>
            <w:tcW w:w="1701" w:type="dxa"/>
            <w:vAlign w:val="center"/>
          </w:tcPr>
          <w:p w14:paraId="3E8D67DD" w14:textId="3B7AD5A9" w:rsidR="00D34903" w:rsidRDefault="002F3CF0" w:rsidP="009734BB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WD</w:t>
            </w:r>
          </w:p>
        </w:tc>
      </w:tr>
    </w:tbl>
    <w:p w14:paraId="20DFDAB5" w14:textId="77777777" w:rsidR="00D34903" w:rsidRDefault="00D34903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1273"/>
        <w:gridCol w:w="6804"/>
        <w:gridCol w:w="1701"/>
      </w:tblGrid>
      <w:tr w:rsidR="003A5D0D" w:rsidRPr="00232395" w14:paraId="231C888A" w14:textId="77777777" w:rsidTr="00DA209E">
        <w:trPr>
          <w:trHeight w:val="482"/>
        </w:trPr>
        <w:tc>
          <w:tcPr>
            <w:tcW w:w="8077" w:type="dxa"/>
            <w:gridSpan w:val="2"/>
            <w:shd w:val="clear" w:color="auto" w:fill="009FE3" w:themeFill="accent4"/>
            <w:vAlign w:val="center"/>
          </w:tcPr>
          <w:p w14:paraId="0C2E31F9" w14:textId="31DF2E51" w:rsidR="003A5D0D" w:rsidRPr="00232395" w:rsidRDefault="006D03DF" w:rsidP="00DA209E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5b</w:t>
            </w:r>
            <w:r w:rsidR="002666DA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.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 Communication from DFO: </w:t>
            </w:r>
            <w:r w:rsidR="001B5990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Initiatives to reduce barriers for injection projects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633FD6B3" w14:textId="62272D1A" w:rsidR="003A5D0D" w:rsidRPr="00232395" w:rsidRDefault="001B5990" w:rsidP="00DA209E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CNG</w:t>
            </w:r>
          </w:p>
        </w:tc>
      </w:tr>
      <w:tr w:rsidR="003A5D0D" w14:paraId="089827E3" w14:textId="77777777" w:rsidTr="00DA209E">
        <w:trPr>
          <w:trHeight w:val="482"/>
        </w:trPr>
        <w:tc>
          <w:tcPr>
            <w:tcW w:w="9778" w:type="dxa"/>
            <w:gridSpan w:val="3"/>
            <w:shd w:val="clear" w:color="auto" w:fill="E1F6FF"/>
            <w:vAlign w:val="center"/>
          </w:tcPr>
          <w:p w14:paraId="68DFC598" w14:textId="3AF73E92" w:rsidR="00FA14D2" w:rsidRDefault="00FA14D2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CNG’s presentation slides were taken as read, as they had been shared in advance and presented at various industry events.</w:t>
            </w:r>
            <w:r w:rsidR="00384D1E">
              <w:rPr>
                <w:rFonts w:cs="Tahoma"/>
                <w:bCs/>
                <w:szCs w:val="20"/>
                <w:lang w:eastAsia="en-US"/>
              </w:rPr>
              <w:t xml:space="preserve"> The main items for discussion were as follows:</w:t>
            </w:r>
          </w:p>
          <w:p w14:paraId="4E8F64B7" w14:textId="77777777" w:rsidR="00FC0F14" w:rsidRDefault="00FC0F14" w:rsidP="00DA209E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4A4DE0FF" w14:textId="26E0A6BD" w:rsidR="00FA14D2" w:rsidRDefault="00FA14D2" w:rsidP="00DA209E">
            <w:pPr>
              <w:rPr>
                <w:rFonts w:cs="Tahoma"/>
                <w:b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Review of Injection Regime</w:t>
            </w:r>
          </w:p>
          <w:p w14:paraId="7C7F6F8D" w14:textId="24ABD306" w:rsidR="005606F2" w:rsidRPr="0011786B" w:rsidRDefault="005606F2" w:rsidP="0011786B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forum had reviewed Ofgem’s letter of direction to biomethane sites in 2015, however there were no changes arising from the review.</w:t>
            </w:r>
            <w:r w:rsidR="00960211">
              <w:rPr>
                <w:rFonts w:cs="Tahoma"/>
                <w:bCs/>
                <w:szCs w:val="20"/>
                <w:lang w:eastAsia="en-US"/>
              </w:rPr>
              <w:t xml:space="preserve"> CNG were proposing </w:t>
            </w:r>
            <w:r w:rsidR="00A63934">
              <w:rPr>
                <w:rFonts w:cs="Tahoma"/>
                <w:bCs/>
                <w:szCs w:val="20"/>
                <w:lang w:eastAsia="en-US"/>
              </w:rPr>
              <w:t>the</w:t>
            </w:r>
            <w:r w:rsidR="00536DEC">
              <w:rPr>
                <w:rFonts w:cs="Tahoma"/>
                <w:bCs/>
                <w:szCs w:val="20"/>
                <w:lang w:eastAsia="en-US"/>
              </w:rPr>
              <w:t xml:space="preserve"> form</w:t>
            </w:r>
            <w:r w:rsidR="00A63934">
              <w:rPr>
                <w:rFonts w:cs="Tahoma"/>
                <w:bCs/>
                <w:szCs w:val="20"/>
                <w:lang w:eastAsia="en-US"/>
              </w:rPr>
              <w:t>ation</w:t>
            </w:r>
            <w:r w:rsidR="00536DEC">
              <w:rPr>
                <w:rFonts w:cs="Tahoma"/>
                <w:bCs/>
                <w:szCs w:val="20"/>
                <w:lang w:eastAsia="en-US"/>
              </w:rPr>
              <w:t xml:space="preserve"> a new review </w:t>
            </w:r>
            <w:r w:rsidR="00A63934">
              <w:rPr>
                <w:rFonts w:cs="Tahoma"/>
                <w:bCs/>
                <w:szCs w:val="20"/>
                <w:lang w:eastAsia="en-US"/>
              </w:rPr>
              <w:t>(sub)</w:t>
            </w:r>
            <w:r w:rsidR="00536DEC">
              <w:rPr>
                <w:rFonts w:cs="Tahoma"/>
                <w:bCs/>
                <w:szCs w:val="20"/>
                <w:lang w:eastAsia="en-US"/>
              </w:rPr>
              <w:t>group to re-review and present unanimous recommendations to Ofgem to consider</w:t>
            </w:r>
            <w:r w:rsidR="00E730E9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02D4D99F" w14:textId="1FFEBEC9" w:rsidR="00C068C9" w:rsidRPr="00C068C9" w:rsidRDefault="0011786B" w:rsidP="00C068C9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CNG’s reasoning was that the current standards </w:t>
            </w:r>
            <w:r w:rsidR="00EF7076">
              <w:rPr>
                <w:rFonts w:cs="Tahoma"/>
                <w:bCs/>
                <w:szCs w:val="20"/>
                <w:lang w:eastAsia="en-US"/>
              </w:rPr>
              <w:t xml:space="preserve">could be more fit-for-purpose, as they </w:t>
            </w:r>
            <w:r>
              <w:rPr>
                <w:rFonts w:cs="Tahoma"/>
                <w:bCs/>
                <w:szCs w:val="20"/>
                <w:lang w:eastAsia="en-US"/>
              </w:rPr>
              <w:t xml:space="preserve">were not appropriate for small sites with small flows, and the measures in place to </w:t>
            </w:r>
            <w:r w:rsidR="00EF7076">
              <w:rPr>
                <w:rFonts w:cs="Tahoma"/>
                <w:bCs/>
                <w:szCs w:val="20"/>
                <w:lang w:eastAsia="en-US"/>
              </w:rPr>
              <w:t>ensure correct CV measurement (etc.) could be brought more in line with those on the continent. Th</w:t>
            </w:r>
            <w:r w:rsidR="00FD4D12">
              <w:rPr>
                <w:rFonts w:cs="Tahoma"/>
                <w:bCs/>
                <w:szCs w:val="20"/>
                <w:lang w:eastAsia="en-US"/>
              </w:rPr>
              <w:t xml:space="preserve">e limit on propane injection above 7.1bar to meet high target CVs was cited as an example of </w:t>
            </w:r>
            <w:r w:rsidR="00785366">
              <w:rPr>
                <w:rFonts w:cs="Tahoma"/>
                <w:bCs/>
                <w:szCs w:val="20"/>
                <w:lang w:eastAsia="en-US"/>
              </w:rPr>
              <w:t xml:space="preserve">an </w:t>
            </w:r>
            <w:r w:rsidR="00FD4D12">
              <w:rPr>
                <w:rFonts w:cs="Tahoma"/>
                <w:bCs/>
                <w:szCs w:val="20"/>
                <w:lang w:eastAsia="en-US"/>
              </w:rPr>
              <w:t>unanticipated consequence</w:t>
            </w:r>
            <w:r w:rsidR="00785366">
              <w:rPr>
                <w:rFonts w:cs="Tahoma"/>
                <w:bCs/>
                <w:szCs w:val="20"/>
                <w:lang w:eastAsia="en-US"/>
              </w:rPr>
              <w:t xml:space="preserve"> of the current set of rules.</w:t>
            </w:r>
          </w:p>
          <w:p w14:paraId="18232DAB" w14:textId="7BDA8623" w:rsidR="00785366" w:rsidRPr="00A1043C" w:rsidRDefault="00785366" w:rsidP="00785366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u w:val="single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BH queried if CNG could substantiate the cost-savings associated with this piece of work and the changes proposed to the letter of direction.</w:t>
            </w:r>
          </w:p>
          <w:p w14:paraId="646A8667" w14:textId="77777777" w:rsidR="005B60F1" w:rsidRDefault="005B60F1" w:rsidP="00DA209E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640D1E25" w14:textId="76001B38" w:rsidR="00FB7ED3" w:rsidRDefault="00FB7ED3" w:rsidP="00DA209E">
            <w:pPr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</w:pPr>
            <w:r w:rsidRPr="00FB7ED3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Adoption of the RTU and ROV</w:t>
            </w:r>
          </w:p>
          <w:p w14:paraId="541D0806" w14:textId="2547E3D0" w:rsidR="00FB7ED3" w:rsidRPr="0053321A" w:rsidRDefault="00FB7ED3" w:rsidP="0053321A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CNG queried the need for adoption of the RTU; National Gas did not require adoption of the RTU, and network adoption of the RTU added significant workload/paperwork to the process.</w:t>
            </w:r>
            <w:r w:rsidR="0053321A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Pr="0053321A">
              <w:rPr>
                <w:rFonts w:cs="Tahoma"/>
                <w:bCs/>
                <w:szCs w:val="20"/>
                <w:lang w:eastAsia="en-US"/>
              </w:rPr>
              <w:t xml:space="preserve">CNG also queried the need for the ROV in light of having </w:t>
            </w:r>
            <w:r w:rsidR="00203847" w:rsidRPr="0053321A">
              <w:rPr>
                <w:rFonts w:cs="Tahoma"/>
                <w:bCs/>
                <w:szCs w:val="20"/>
                <w:lang w:eastAsia="en-US"/>
              </w:rPr>
              <w:t>gas quality measurement and the</w:t>
            </w:r>
            <w:r w:rsidRPr="0053321A">
              <w:rPr>
                <w:rFonts w:cs="Tahoma"/>
                <w:bCs/>
                <w:szCs w:val="20"/>
                <w:lang w:eastAsia="en-US"/>
              </w:rPr>
              <w:t xml:space="preserve"> diverter valve on site, which w</w:t>
            </w:r>
            <w:r w:rsidR="00203847" w:rsidRPr="0053321A">
              <w:rPr>
                <w:rFonts w:cs="Tahoma"/>
                <w:bCs/>
                <w:szCs w:val="20"/>
                <w:lang w:eastAsia="en-US"/>
              </w:rPr>
              <w:t>ere</w:t>
            </w:r>
            <w:r w:rsidRPr="0053321A">
              <w:rPr>
                <w:rFonts w:cs="Tahoma"/>
                <w:bCs/>
                <w:szCs w:val="20"/>
                <w:lang w:eastAsia="en-US"/>
              </w:rPr>
              <w:t xml:space="preserve"> not adopted by networks</w:t>
            </w:r>
            <w:r w:rsidR="00203847" w:rsidRPr="0053321A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77AA9A29" w14:textId="2996C2EB" w:rsidR="0016717F" w:rsidRDefault="004229E7" w:rsidP="00FB7ED3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lastRenderedPageBreak/>
              <w:t xml:space="preserve">Continuing comparisons with the continent, </w:t>
            </w:r>
            <w:r w:rsidR="0016717F">
              <w:rPr>
                <w:rFonts w:cs="Tahoma"/>
                <w:bCs/>
                <w:szCs w:val="20"/>
                <w:lang w:eastAsia="en-US"/>
              </w:rPr>
              <w:t xml:space="preserve">CM and RB noted </w:t>
            </w:r>
            <w:r>
              <w:rPr>
                <w:rFonts w:cs="Tahoma"/>
                <w:bCs/>
                <w:szCs w:val="20"/>
                <w:lang w:eastAsia="en-US"/>
              </w:rPr>
              <w:t xml:space="preserve">that sites in France </w:t>
            </w:r>
            <w:r w:rsidRPr="004229E7">
              <w:rPr>
                <w:rFonts w:cs="Tahoma"/>
                <w:bCs/>
                <w:i/>
                <w:iCs/>
                <w:szCs w:val="20"/>
                <w:lang w:eastAsia="en-US"/>
              </w:rPr>
              <w:t>did</w:t>
            </w:r>
            <w:r>
              <w:rPr>
                <w:rFonts w:cs="Tahoma"/>
                <w:bCs/>
                <w:szCs w:val="20"/>
                <w:lang w:eastAsia="en-US"/>
              </w:rPr>
              <w:t xml:space="preserve"> have ROVs, and the full GEU was adopted by the distribution network operator.</w:t>
            </w:r>
          </w:p>
          <w:p w14:paraId="410F7C2E" w14:textId="5670607D" w:rsidR="0053321A" w:rsidRDefault="0053321A" w:rsidP="00FB7ED3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JM noted that cybersecurity would be a challenge with changes to GDN telemetry.</w:t>
            </w:r>
          </w:p>
          <w:p w14:paraId="25BDD0A9" w14:textId="21006DFA" w:rsidR="00225890" w:rsidRDefault="0084044D" w:rsidP="00225890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BH emphasised that there was a need for the ROV; the ROVs do shut, often automatically and fairly regularly.</w:t>
            </w:r>
            <w:r w:rsidR="00A2485F">
              <w:rPr>
                <w:rFonts w:cs="Tahoma"/>
                <w:bCs/>
                <w:szCs w:val="20"/>
                <w:lang w:eastAsia="en-US"/>
              </w:rPr>
              <w:t xml:space="preserve"> Despite the gas quality measurements and diverter valve, the human-machine interface left room for error, which was often the case for closing the ROV (e.g., </w:t>
            </w:r>
            <w:r w:rsidR="00BE36B8">
              <w:rPr>
                <w:rFonts w:cs="Tahoma"/>
                <w:bCs/>
                <w:szCs w:val="20"/>
                <w:lang w:eastAsia="en-US"/>
              </w:rPr>
              <w:t>if the operator of the site moves a limit, changes a setting, etc.)</w:t>
            </w:r>
          </w:p>
          <w:p w14:paraId="7B0B8FE6" w14:textId="77777777" w:rsidR="00225890" w:rsidRDefault="00225890" w:rsidP="00225890">
            <w:pPr>
              <w:pStyle w:val="ListParagraph"/>
              <w:rPr>
                <w:rFonts w:cs="Tahoma"/>
                <w:bCs/>
                <w:szCs w:val="20"/>
                <w:lang w:eastAsia="en-US"/>
              </w:rPr>
            </w:pPr>
          </w:p>
          <w:p w14:paraId="1C87B672" w14:textId="77777777" w:rsidR="00FC0F14" w:rsidRPr="00225890" w:rsidRDefault="00FC0F14" w:rsidP="00225890">
            <w:pPr>
              <w:pStyle w:val="ListParagraph"/>
              <w:rPr>
                <w:rFonts w:cs="Tahoma"/>
                <w:bCs/>
                <w:szCs w:val="20"/>
                <w:lang w:eastAsia="en-US"/>
              </w:rPr>
            </w:pPr>
          </w:p>
          <w:p w14:paraId="5CB2A67B" w14:textId="41D7127A" w:rsidR="00225890" w:rsidRDefault="00225890" w:rsidP="00225890">
            <w:pPr>
              <w:rPr>
                <w:rFonts w:cs="Tahoma"/>
                <w:bCs/>
                <w:szCs w:val="20"/>
                <w:lang w:eastAsia="en-US"/>
              </w:rPr>
            </w:pPr>
            <w:r w:rsidRPr="00225890">
              <w:rPr>
                <w:rFonts w:cs="Tahoma"/>
                <w:bCs/>
                <w:i/>
                <w:iCs/>
                <w:szCs w:val="20"/>
                <w:u w:val="single"/>
                <w:lang w:eastAsia="en-US"/>
              </w:rPr>
              <w:t>Innovation</w:t>
            </w:r>
          </w:p>
          <w:p w14:paraId="7C9E122D" w14:textId="556C269B" w:rsidR="00225890" w:rsidRDefault="00C76070" w:rsidP="00225890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AC queried how </w:t>
            </w:r>
            <w:r w:rsidR="000C3BB2">
              <w:rPr>
                <w:rFonts w:cs="Tahoma"/>
                <w:bCs/>
                <w:szCs w:val="20"/>
                <w:lang w:eastAsia="en-US"/>
              </w:rPr>
              <w:t>biomethane innovations could move more quickly</w:t>
            </w:r>
            <w:r w:rsidR="00FD351F">
              <w:rPr>
                <w:rFonts w:cs="Tahoma"/>
                <w:bCs/>
                <w:szCs w:val="20"/>
                <w:lang w:eastAsia="en-US"/>
              </w:rPr>
              <w:t xml:space="preserve">, particularly around </w:t>
            </w:r>
            <w:r w:rsidR="003D1243">
              <w:rPr>
                <w:rFonts w:cs="Tahoma"/>
                <w:bCs/>
                <w:szCs w:val="20"/>
                <w:lang w:eastAsia="en-US"/>
              </w:rPr>
              <w:t>new GEU design in line with a new letter of direction.</w:t>
            </w:r>
          </w:p>
          <w:p w14:paraId="74109B14" w14:textId="77777777" w:rsidR="0006081B" w:rsidRDefault="000C3BB2" w:rsidP="005A0629">
            <w:pPr>
              <w:pStyle w:val="ListParagraph"/>
              <w:numPr>
                <w:ilvl w:val="0"/>
                <w:numId w:val="13"/>
              </w:num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JL noted that Cadent were </w:t>
            </w:r>
            <w:r w:rsidR="001D499F">
              <w:rPr>
                <w:rFonts w:cs="Tahoma"/>
                <w:bCs/>
                <w:szCs w:val="20"/>
                <w:lang w:eastAsia="en-US"/>
              </w:rPr>
              <w:t xml:space="preserve">submitting two capacity-related problem statements into the ENA Energy Innovation Basecamp 2024, on i) </w:t>
            </w:r>
            <w:r w:rsidR="007C6542">
              <w:rPr>
                <w:rFonts w:cs="Tahoma"/>
                <w:bCs/>
                <w:szCs w:val="20"/>
                <w:lang w:eastAsia="en-US"/>
              </w:rPr>
              <w:t>appropriate of</w:t>
            </w:r>
            <w:r w:rsidR="001D499F">
              <w:rPr>
                <w:rFonts w:cs="Tahoma"/>
                <w:bCs/>
                <w:szCs w:val="20"/>
                <w:lang w:eastAsia="en-US"/>
              </w:rPr>
              <w:t xml:space="preserve">ftake </w:t>
            </w:r>
            <w:r w:rsidR="007C6542">
              <w:rPr>
                <w:rFonts w:cs="Tahoma"/>
                <w:bCs/>
                <w:szCs w:val="20"/>
                <w:lang w:eastAsia="en-US"/>
              </w:rPr>
              <w:t>m</w:t>
            </w:r>
            <w:r w:rsidR="001D499F">
              <w:rPr>
                <w:rFonts w:cs="Tahoma"/>
                <w:bCs/>
                <w:szCs w:val="20"/>
                <w:lang w:eastAsia="en-US"/>
              </w:rPr>
              <w:t>etering</w:t>
            </w:r>
            <w:r w:rsidR="007C6542">
              <w:rPr>
                <w:rFonts w:cs="Tahoma"/>
                <w:bCs/>
                <w:szCs w:val="20"/>
                <w:lang w:eastAsia="en-US"/>
              </w:rPr>
              <w:t xml:space="preserve"> (USM was the best available)</w:t>
            </w:r>
            <w:r w:rsidR="001D499F">
              <w:rPr>
                <w:rFonts w:cs="Tahoma"/>
                <w:bCs/>
                <w:szCs w:val="20"/>
                <w:lang w:eastAsia="en-US"/>
              </w:rPr>
              <w:t>, and ii) using AI</w:t>
            </w:r>
            <w:r w:rsidR="007C6542">
              <w:rPr>
                <w:rFonts w:cs="Tahoma"/>
                <w:bCs/>
                <w:szCs w:val="20"/>
                <w:lang w:eastAsia="en-US"/>
              </w:rPr>
              <w:t xml:space="preserve"> for blending without needing to install instrumentation.</w:t>
            </w:r>
            <w:r w:rsidR="00FD351F">
              <w:rPr>
                <w:rFonts w:cs="Tahoma"/>
                <w:bCs/>
                <w:szCs w:val="20"/>
                <w:lang w:eastAsia="en-US"/>
              </w:rPr>
              <w:t xml:space="preserve"> </w:t>
            </w:r>
            <w:r w:rsidR="00C32BA2" w:rsidRPr="00FD351F">
              <w:rPr>
                <w:rFonts w:cs="Tahoma"/>
                <w:bCs/>
                <w:szCs w:val="20"/>
                <w:lang w:eastAsia="en-US"/>
              </w:rPr>
              <w:t xml:space="preserve">Additionally, Cadent were starting </w:t>
            </w:r>
            <w:r w:rsidR="0080709E" w:rsidRPr="00FD351F">
              <w:rPr>
                <w:rFonts w:cs="Tahoma"/>
                <w:bCs/>
                <w:szCs w:val="20"/>
                <w:lang w:eastAsia="en-US"/>
              </w:rPr>
              <w:t xml:space="preserve">discussions internally </w:t>
            </w:r>
            <w:r w:rsidR="00FD351F" w:rsidRPr="00FD351F">
              <w:rPr>
                <w:rFonts w:cs="Tahoma"/>
                <w:bCs/>
                <w:szCs w:val="20"/>
                <w:lang w:eastAsia="en-US"/>
              </w:rPr>
              <w:t>around using NIA funding for work on reverse compression.</w:t>
            </w:r>
          </w:p>
          <w:p w14:paraId="18AEE51C" w14:textId="526B9FD6" w:rsidR="005A0629" w:rsidRPr="005A0629" w:rsidRDefault="005A0629" w:rsidP="005A0629">
            <w:pPr>
              <w:pStyle w:val="ListParagraph"/>
              <w:rPr>
                <w:rFonts w:cs="Tahoma"/>
                <w:bCs/>
                <w:szCs w:val="20"/>
                <w:lang w:eastAsia="en-US"/>
              </w:rPr>
            </w:pPr>
          </w:p>
        </w:tc>
      </w:tr>
      <w:tr w:rsidR="003A5D0D" w14:paraId="01DD1518" w14:textId="77777777" w:rsidTr="00DA209E">
        <w:trPr>
          <w:trHeight w:val="482"/>
        </w:trPr>
        <w:tc>
          <w:tcPr>
            <w:tcW w:w="1273" w:type="dxa"/>
            <w:shd w:val="clear" w:color="auto" w:fill="auto"/>
            <w:vAlign w:val="center"/>
          </w:tcPr>
          <w:p w14:paraId="503ED23B" w14:textId="77777777" w:rsidR="003A5D0D" w:rsidRDefault="003A5D0D" w:rsidP="00DA209E">
            <w:pPr>
              <w:pStyle w:val="Subheader2"/>
            </w:pPr>
            <w:r>
              <w:lastRenderedPageBreak/>
              <w:t>Actions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07F06D" w14:textId="77777777" w:rsidR="003A5D0D" w:rsidRDefault="00A1043C" w:rsidP="00DA209E">
            <w:pPr>
              <w:rPr>
                <w:rFonts w:cs="Tahoma"/>
                <w:bCs/>
                <w:szCs w:val="20"/>
                <w:lang w:eastAsia="en-US"/>
              </w:rPr>
            </w:pPr>
            <w:r w:rsidRPr="00062868">
              <w:rPr>
                <w:rFonts w:cs="Tahoma"/>
                <w:bCs/>
                <w:szCs w:val="20"/>
                <w:lang w:eastAsia="en-US"/>
              </w:rPr>
              <w:t xml:space="preserve">ENA to locate and re-circulate the </w:t>
            </w:r>
            <w:r w:rsidR="00062868" w:rsidRPr="00062868">
              <w:rPr>
                <w:rFonts w:cs="Tahoma"/>
                <w:bCs/>
                <w:szCs w:val="20"/>
                <w:lang w:eastAsia="en-US"/>
              </w:rPr>
              <w:t>2015 review of the letter of direction “</w:t>
            </w:r>
            <w:r w:rsidR="00062868" w:rsidRPr="00062868">
              <w:rPr>
                <w:rFonts w:cs="Tahoma"/>
                <w:bCs/>
                <w:szCs w:val="20"/>
                <w:lang w:eastAsia="en-US"/>
              </w:rPr>
              <w:t>Reducing Costs and Removing Barriers for Low-flow Gas Entry Sites: Transforming the Caloric Value (CV) Regime for Small Sites</w:t>
            </w:r>
            <w:r w:rsidR="00062868" w:rsidRPr="00062868">
              <w:rPr>
                <w:rFonts w:cs="Tahoma"/>
                <w:bCs/>
                <w:szCs w:val="20"/>
                <w:lang w:eastAsia="en-US"/>
              </w:rPr>
              <w:t>”</w:t>
            </w:r>
            <w:r w:rsidR="00062868"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5977B390" w14:textId="77777777" w:rsidR="008403EF" w:rsidRDefault="008403EF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GDNs to provide an initial view on reviewing the contents of the letter of direction; </w:t>
            </w:r>
            <w:r w:rsidR="00484E04">
              <w:rPr>
                <w:rFonts w:cs="Tahoma"/>
                <w:bCs/>
                <w:szCs w:val="20"/>
                <w:lang w:eastAsia="en-US"/>
              </w:rPr>
              <w:t xml:space="preserve">if value is seen, GDNs to </w:t>
            </w:r>
            <w:r>
              <w:rPr>
                <w:rFonts w:cs="Tahoma"/>
                <w:bCs/>
                <w:szCs w:val="20"/>
                <w:lang w:eastAsia="en-US"/>
              </w:rPr>
              <w:t>then propose names for a subgroup</w:t>
            </w:r>
            <w:r w:rsidR="005B60F1">
              <w:rPr>
                <w:rFonts w:cs="Tahoma"/>
                <w:bCs/>
                <w:szCs w:val="20"/>
                <w:lang w:eastAsia="en-US"/>
              </w:rPr>
              <w:t xml:space="preserve"> (CNG-led) to review the document, suggest amendments and formulate a response to Ofgem.</w:t>
            </w:r>
          </w:p>
          <w:p w14:paraId="350AE78C" w14:textId="77777777" w:rsidR="00FD6F97" w:rsidRDefault="00FD6F97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GDNs to assemble high-level data on the frequency and reasons behind ROV closure</w:t>
            </w:r>
            <w:r w:rsidR="006A37D8">
              <w:rPr>
                <w:rFonts w:cs="Tahoma"/>
                <w:bCs/>
                <w:szCs w:val="20"/>
                <w:lang w:eastAsia="en-US"/>
              </w:rPr>
              <w:t>s (re: consideration of the need for the ROV).</w:t>
            </w:r>
          </w:p>
          <w:p w14:paraId="15140611" w14:textId="1DEE7DB3" w:rsidR="006A37D8" w:rsidRPr="00062868" w:rsidRDefault="006A37D8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GDNs to </w:t>
            </w:r>
            <w:r w:rsidR="00DF366E">
              <w:rPr>
                <w:rFonts w:cs="Tahoma"/>
                <w:bCs/>
                <w:szCs w:val="20"/>
                <w:lang w:eastAsia="en-US"/>
              </w:rPr>
              <w:t xml:space="preserve">consult their teams and return with a view on the possibility to </w:t>
            </w:r>
            <w:r w:rsidR="00DF366E" w:rsidRPr="00DF366E">
              <w:rPr>
                <w:rFonts w:cs="Tahoma"/>
                <w:bCs/>
                <w:i/>
                <w:iCs/>
                <w:szCs w:val="20"/>
                <w:lang w:eastAsia="en-US"/>
              </w:rPr>
              <w:t>not</w:t>
            </w:r>
            <w:r w:rsidR="00DF366E">
              <w:rPr>
                <w:rFonts w:cs="Tahoma"/>
                <w:bCs/>
                <w:szCs w:val="20"/>
                <w:lang w:eastAsia="en-US"/>
              </w:rPr>
              <w:t xml:space="preserve"> adopt the RTU and ROV.</w:t>
            </w:r>
          </w:p>
        </w:tc>
        <w:tc>
          <w:tcPr>
            <w:tcW w:w="1701" w:type="dxa"/>
            <w:vAlign w:val="center"/>
          </w:tcPr>
          <w:p w14:paraId="7CC865F8" w14:textId="77777777" w:rsidR="004D7AB4" w:rsidRPr="00D73806" w:rsidRDefault="004D7AB4" w:rsidP="00DA209E">
            <w:pPr>
              <w:jc w:val="center"/>
              <w:rPr>
                <w:rFonts w:cs="Tahoma"/>
                <w:bCs/>
                <w:sz w:val="2"/>
                <w:szCs w:val="2"/>
                <w:lang w:eastAsia="en-US"/>
              </w:rPr>
            </w:pPr>
          </w:p>
          <w:p w14:paraId="04077F83" w14:textId="6B90E0BE" w:rsidR="00D73806" w:rsidRDefault="00062868" w:rsidP="00D73806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ENA</w:t>
            </w:r>
          </w:p>
          <w:p w14:paraId="7A19DBCC" w14:textId="77777777" w:rsidR="00D73806" w:rsidRDefault="00D73806" w:rsidP="00D73806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4C8E6893" w14:textId="7DF0139B" w:rsidR="004D7AB4" w:rsidRDefault="005B60F1" w:rsidP="00D73806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GDNs</w:t>
            </w:r>
          </w:p>
          <w:p w14:paraId="4A78388A" w14:textId="77777777" w:rsidR="00D73806" w:rsidRDefault="00D73806" w:rsidP="00D73806">
            <w:pPr>
              <w:rPr>
                <w:rFonts w:cs="Tahoma"/>
                <w:bCs/>
                <w:szCs w:val="20"/>
                <w:lang w:eastAsia="en-US"/>
              </w:rPr>
            </w:pPr>
          </w:p>
          <w:p w14:paraId="0C006CBF" w14:textId="77777777" w:rsidR="00D73806" w:rsidRPr="00D73806" w:rsidRDefault="00D73806" w:rsidP="00D73806">
            <w:pPr>
              <w:rPr>
                <w:rFonts w:cs="Tahoma"/>
                <w:bCs/>
                <w:sz w:val="2"/>
                <w:szCs w:val="2"/>
                <w:lang w:eastAsia="en-US"/>
              </w:rPr>
            </w:pPr>
          </w:p>
          <w:p w14:paraId="34555B4F" w14:textId="7DEEB512" w:rsidR="004D7AB4" w:rsidRDefault="006A37D8" w:rsidP="004D7AB4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GDNs</w:t>
            </w:r>
          </w:p>
          <w:p w14:paraId="1E5DBBE3" w14:textId="77777777" w:rsidR="00D73806" w:rsidRDefault="00D73806" w:rsidP="004D7AB4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</w:p>
          <w:p w14:paraId="3C396B7B" w14:textId="64EECA9D" w:rsidR="00D73806" w:rsidRDefault="004D7AB4" w:rsidP="00D73806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GDNs</w:t>
            </w:r>
          </w:p>
        </w:tc>
      </w:tr>
    </w:tbl>
    <w:p w14:paraId="4277E237" w14:textId="197EF12B" w:rsidR="003A5D0D" w:rsidRDefault="003A5D0D" w:rsidP="002034B7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8077"/>
        <w:gridCol w:w="1701"/>
      </w:tblGrid>
      <w:tr w:rsidR="003A5D0D" w:rsidRPr="00232395" w14:paraId="0F60A583" w14:textId="77777777" w:rsidTr="00DA209E">
        <w:trPr>
          <w:trHeight w:val="482"/>
        </w:trPr>
        <w:tc>
          <w:tcPr>
            <w:tcW w:w="8077" w:type="dxa"/>
            <w:shd w:val="clear" w:color="auto" w:fill="009FE3" w:themeFill="accent4"/>
            <w:vAlign w:val="center"/>
          </w:tcPr>
          <w:p w14:paraId="567CB657" w14:textId="7B78B888" w:rsidR="003A5D0D" w:rsidRPr="00232395" w:rsidRDefault="001B5990" w:rsidP="00DA209E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6</w:t>
            </w:r>
            <w:r w:rsidR="009A534C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a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 xml:space="preserve">. AOB: </w:t>
            </w:r>
            <w:r w:rsidR="009A534C"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Cadent Biomethane Consultation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096C00A0" w14:textId="2E7358F1" w:rsidR="003A5D0D" w:rsidRPr="00232395" w:rsidRDefault="009A534C" w:rsidP="00DA209E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JL</w:t>
            </w:r>
          </w:p>
        </w:tc>
      </w:tr>
      <w:tr w:rsidR="003A5D0D" w14:paraId="4B18E099" w14:textId="77777777" w:rsidTr="00DA209E">
        <w:trPr>
          <w:trHeight w:val="482"/>
        </w:trPr>
        <w:tc>
          <w:tcPr>
            <w:tcW w:w="9778" w:type="dxa"/>
            <w:gridSpan w:val="2"/>
            <w:shd w:val="clear" w:color="auto" w:fill="E1F6FF"/>
            <w:vAlign w:val="center"/>
          </w:tcPr>
          <w:p w14:paraId="09BA4C97" w14:textId="33889FDD" w:rsidR="003A5D0D" w:rsidRDefault="009A534C" w:rsidP="00DA209E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 xml:space="preserve">Cadent were launching a biomethane consultation </w:t>
            </w:r>
            <w:r>
              <w:rPr>
                <w:rFonts w:cs="Tahoma"/>
                <w:bCs/>
                <w:szCs w:val="20"/>
                <w:lang w:eastAsia="en-US"/>
              </w:rPr>
              <w:t xml:space="preserve">at </w:t>
            </w:r>
            <w:r>
              <w:rPr>
                <w:rFonts w:cs="Tahoma"/>
                <w:bCs/>
                <w:szCs w:val="20"/>
                <w:lang w:eastAsia="en-US"/>
              </w:rPr>
              <w:t xml:space="preserve">the </w:t>
            </w:r>
            <w:r>
              <w:rPr>
                <w:rFonts w:cs="Tahoma"/>
                <w:bCs/>
                <w:szCs w:val="20"/>
                <w:lang w:eastAsia="en-US"/>
              </w:rPr>
              <w:t xml:space="preserve">ADBA Conference </w:t>
            </w:r>
            <w:r>
              <w:rPr>
                <w:rFonts w:cs="Tahoma"/>
                <w:bCs/>
                <w:szCs w:val="20"/>
                <w:lang w:eastAsia="en-US"/>
              </w:rPr>
              <w:t xml:space="preserve">06/12/2023. </w:t>
            </w:r>
            <w:r w:rsidR="005A0629">
              <w:rPr>
                <w:rFonts w:cs="Tahoma"/>
                <w:bCs/>
                <w:szCs w:val="20"/>
                <w:lang w:eastAsia="en-US"/>
              </w:rPr>
              <w:t>A tabletop session was planned for the day, and an email would go round to the group more formally at a later stage. The consultation (sans branding) was already live on the biomethane section of Cadent’s website.</w:t>
            </w:r>
          </w:p>
        </w:tc>
      </w:tr>
    </w:tbl>
    <w:p w14:paraId="5EBB9B9D" w14:textId="77777777" w:rsidR="002666DA" w:rsidRDefault="002666DA" w:rsidP="00F40D1F">
      <w:pPr>
        <w:rPr>
          <w:rStyle w:val="SubtleReference"/>
          <w:smallCaps w:val="0"/>
          <w:color w:val="auto"/>
        </w:rPr>
      </w:pPr>
    </w:p>
    <w:tbl>
      <w:tblPr>
        <w:tblW w:w="9778" w:type="dxa"/>
        <w:tblBorders>
          <w:top w:val="single" w:sz="2" w:space="0" w:color="A6ACA9" w:themeColor="background2"/>
          <w:left w:val="single" w:sz="2" w:space="0" w:color="A6ACA9" w:themeColor="background2"/>
          <w:bottom w:val="single" w:sz="2" w:space="0" w:color="A6ACA9" w:themeColor="background2"/>
          <w:right w:val="single" w:sz="2" w:space="0" w:color="A6ACA9" w:themeColor="background2"/>
          <w:insideH w:val="single" w:sz="2" w:space="0" w:color="A6ACA9" w:themeColor="background2"/>
          <w:insideV w:val="single" w:sz="2" w:space="0" w:color="A6ACA9" w:themeColor="background2"/>
        </w:tblBorders>
        <w:tblLook w:val="0420" w:firstRow="1" w:lastRow="0" w:firstColumn="0" w:lastColumn="0" w:noHBand="0" w:noVBand="1"/>
      </w:tblPr>
      <w:tblGrid>
        <w:gridCol w:w="1273"/>
        <w:gridCol w:w="6804"/>
        <w:gridCol w:w="1701"/>
      </w:tblGrid>
      <w:tr w:rsidR="009A534C" w:rsidRPr="00232395" w14:paraId="67A9529F" w14:textId="77777777" w:rsidTr="00342C1F">
        <w:trPr>
          <w:trHeight w:val="482"/>
        </w:trPr>
        <w:tc>
          <w:tcPr>
            <w:tcW w:w="8077" w:type="dxa"/>
            <w:gridSpan w:val="2"/>
            <w:shd w:val="clear" w:color="auto" w:fill="009FE3" w:themeFill="accent4"/>
            <w:vAlign w:val="center"/>
          </w:tcPr>
          <w:p w14:paraId="491807E8" w14:textId="3C849856" w:rsidR="009A534C" w:rsidRPr="00232395" w:rsidRDefault="009A534C" w:rsidP="00342C1F">
            <w:pP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6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b</w:t>
            </w: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. AOB: 2024 Meeting Dates</w:t>
            </w:r>
          </w:p>
        </w:tc>
        <w:tc>
          <w:tcPr>
            <w:tcW w:w="1701" w:type="dxa"/>
            <w:shd w:val="clear" w:color="auto" w:fill="009FE3" w:themeFill="accent4"/>
            <w:vAlign w:val="center"/>
          </w:tcPr>
          <w:p w14:paraId="39F42E84" w14:textId="77777777" w:rsidR="009A534C" w:rsidRPr="00232395" w:rsidRDefault="009A534C" w:rsidP="00342C1F">
            <w:pPr>
              <w:jc w:val="center"/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Tahoma"/>
                <w:b/>
                <w:bCs/>
                <w:color w:val="FFFFFF" w:themeColor="background1"/>
                <w:szCs w:val="20"/>
                <w:lang w:eastAsia="en-US"/>
              </w:rPr>
              <w:t>MR</w:t>
            </w:r>
          </w:p>
        </w:tc>
      </w:tr>
      <w:tr w:rsidR="009A534C" w14:paraId="7E15CFCD" w14:textId="77777777" w:rsidTr="00342C1F">
        <w:trPr>
          <w:trHeight w:val="482"/>
        </w:trPr>
        <w:tc>
          <w:tcPr>
            <w:tcW w:w="9778" w:type="dxa"/>
            <w:gridSpan w:val="3"/>
            <w:shd w:val="clear" w:color="auto" w:fill="E1F6FF"/>
            <w:vAlign w:val="center"/>
          </w:tcPr>
          <w:p w14:paraId="5FB65EA9" w14:textId="173568ED" w:rsidR="008A1E12" w:rsidRPr="008A1E12" w:rsidRDefault="008A1E12" w:rsidP="008A1E12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The following m</w:t>
            </w:r>
            <w:r w:rsidRPr="008A1E12">
              <w:rPr>
                <w:rFonts w:cs="Tahoma"/>
                <w:bCs/>
                <w:szCs w:val="20"/>
                <w:lang w:eastAsia="en-US"/>
              </w:rPr>
              <w:t>eeting dates</w:t>
            </w:r>
            <w:r>
              <w:rPr>
                <w:rFonts w:cs="Tahoma"/>
                <w:bCs/>
                <w:szCs w:val="20"/>
                <w:lang w:eastAsia="en-US"/>
              </w:rPr>
              <w:t xml:space="preserve"> were proposed for</w:t>
            </w:r>
            <w:r w:rsidRPr="008A1E12">
              <w:rPr>
                <w:rFonts w:cs="Tahoma"/>
                <w:bCs/>
                <w:szCs w:val="20"/>
                <w:lang w:eastAsia="en-US"/>
              </w:rPr>
              <w:t xml:space="preserve"> 2024 (</w:t>
            </w:r>
            <w:r>
              <w:rPr>
                <w:rFonts w:cs="Tahoma"/>
                <w:bCs/>
                <w:szCs w:val="20"/>
                <w:lang w:eastAsia="en-US"/>
              </w:rPr>
              <w:t>i.e., the f</w:t>
            </w:r>
            <w:r w:rsidRPr="008A1E12">
              <w:rPr>
                <w:rFonts w:cs="Tahoma"/>
                <w:bCs/>
                <w:szCs w:val="20"/>
                <w:lang w:eastAsia="en-US"/>
              </w:rPr>
              <w:t>inal Tuesday of every other month)</w:t>
            </w:r>
            <w:r>
              <w:rPr>
                <w:rFonts w:cs="Tahoma"/>
                <w:bCs/>
                <w:szCs w:val="20"/>
                <w:lang w:eastAsia="en-US"/>
              </w:rPr>
              <w:t>.</w:t>
            </w:r>
          </w:p>
          <w:p w14:paraId="65D38157" w14:textId="5CAD1F44" w:rsidR="009A534C" w:rsidRDefault="008A1E12" w:rsidP="008A1E12">
            <w:pPr>
              <w:rPr>
                <w:rFonts w:cs="Tahoma"/>
                <w:bCs/>
                <w:szCs w:val="20"/>
                <w:lang w:eastAsia="en-US"/>
              </w:rPr>
            </w:pPr>
            <w:r w:rsidRPr="008A1E12">
              <w:rPr>
                <w:rFonts w:cs="Tahoma"/>
                <w:bCs/>
                <w:szCs w:val="20"/>
                <w:lang w:eastAsia="en-US"/>
              </w:rPr>
              <w:t>January 3</w:t>
            </w:r>
            <w:r>
              <w:rPr>
                <w:rFonts w:cs="Tahoma"/>
                <w:bCs/>
                <w:szCs w:val="20"/>
                <w:lang w:eastAsia="en-US"/>
              </w:rPr>
              <w:t xml:space="preserve">0th, </w:t>
            </w:r>
            <w:r w:rsidRPr="008A1E12">
              <w:rPr>
                <w:rFonts w:cs="Tahoma"/>
                <w:bCs/>
                <w:szCs w:val="20"/>
                <w:lang w:eastAsia="en-US"/>
              </w:rPr>
              <w:t>March 2</w:t>
            </w:r>
            <w:r>
              <w:rPr>
                <w:rFonts w:cs="Tahoma"/>
                <w:bCs/>
                <w:szCs w:val="20"/>
                <w:lang w:eastAsia="en-US"/>
              </w:rPr>
              <w:t xml:space="preserve">6th, </w:t>
            </w:r>
            <w:r w:rsidRPr="008A1E12">
              <w:rPr>
                <w:rFonts w:cs="Tahoma"/>
                <w:bCs/>
                <w:szCs w:val="20"/>
                <w:lang w:eastAsia="en-US"/>
              </w:rPr>
              <w:t>May 28th</w:t>
            </w:r>
            <w:r>
              <w:rPr>
                <w:rFonts w:cs="Tahoma"/>
                <w:bCs/>
                <w:szCs w:val="20"/>
                <w:lang w:eastAsia="en-US"/>
              </w:rPr>
              <w:t xml:space="preserve">, </w:t>
            </w:r>
            <w:r w:rsidRPr="008A1E12">
              <w:rPr>
                <w:rFonts w:cs="Tahoma"/>
                <w:bCs/>
                <w:szCs w:val="20"/>
                <w:lang w:eastAsia="en-US"/>
              </w:rPr>
              <w:t>July 30th</w:t>
            </w:r>
            <w:r>
              <w:rPr>
                <w:rFonts w:cs="Tahoma"/>
                <w:bCs/>
                <w:szCs w:val="20"/>
                <w:lang w:eastAsia="en-US"/>
              </w:rPr>
              <w:t xml:space="preserve">, </w:t>
            </w:r>
            <w:r w:rsidRPr="008A1E12">
              <w:rPr>
                <w:rFonts w:cs="Tahoma"/>
                <w:bCs/>
                <w:szCs w:val="20"/>
                <w:lang w:eastAsia="en-US"/>
              </w:rPr>
              <w:t>September 2</w:t>
            </w:r>
            <w:r>
              <w:rPr>
                <w:rFonts w:cs="Tahoma"/>
                <w:bCs/>
                <w:szCs w:val="20"/>
                <w:lang w:eastAsia="en-US"/>
              </w:rPr>
              <w:t xml:space="preserve">4th &amp; </w:t>
            </w:r>
            <w:r w:rsidRPr="008A1E12">
              <w:rPr>
                <w:rFonts w:cs="Tahoma"/>
                <w:bCs/>
                <w:szCs w:val="20"/>
                <w:lang w:eastAsia="en-US"/>
              </w:rPr>
              <w:t>November 26th</w:t>
            </w:r>
          </w:p>
        </w:tc>
      </w:tr>
      <w:tr w:rsidR="009A534C" w14:paraId="04D72A4F" w14:textId="77777777" w:rsidTr="00342C1F">
        <w:trPr>
          <w:trHeight w:val="482"/>
        </w:trPr>
        <w:tc>
          <w:tcPr>
            <w:tcW w:w="1273" w:type="dxa"/>
            <w:shd w:val="clear" w:color="auto" w:fill="auto"/>
            <w:vAlign w:val="center"/>
          </w:tcPr>
          <w:p w14:paraId="25D1EC93" w14:textId="77777777" w:rsidR="009A534C" w:rsidRDefault="009A534C" w:rsidP="00342C1F">
            <w:pPr>
              <w:pStyle w:val="Subheader2"/>
            </w:pPr>
            <w:r>
              <w:t>Actions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6D9C0C" w14:textId="3F3707CD" w:rsidR="009A534C" w:rsidRDefault="004074CF" w:rsidP="00342C1F">
            <w:pPr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MR</w:t>
            </w:r>
            <w:r w:rsidR="008A1E12">
              <w:rPr>
                <w:rFonts w:cs="Tahoma"/>
                <w:bCs/>
                <w:szCs w:val="20"/>
                <w:lang w:eastAsia="en-US"/>
              </w:rPr>
              <w:t xml:space="preserve"> to update </w:t>
            </w:r>
            <w:r w:rsidR="004D7AB4">
              <w:rPr>
                <w:rFonts w:cs="Tahoma"/>
                <w:bCs/>
                <w:szCs w:val="20"/>
                <w:lang w:eastAsia="en-US"/>
              </w:rPr>
              <w:t>diaries with 2024’s Meetings.</w:t>
            </w:r>
          </w:p>
        </w:tc>
        <w:tc>
          <w:tcPr>
            <w:tcW w:w="1701" w:type="dxa"/>
            <w:vAlign w:val="center"/>
          </w:tcPr>
          <w:p w14:paraId="65082743" w14:textId="0A3E9E59" w:rsidR="009A534C" w:rsidRDefault="004074CF" w:rsidP="00342C1F">
            <w:pPr>
              <w:jc w:val="center"/>
              <w:rPr>
                <w:rFonts w:cs="Tahoma"/>
                <w:bCs/>
                <w:szCs w:val="20"/>
                <w:lang w:eastAsia="en-US"/>
              </w:rPr>
            </w:pPr>
            <w:r>
              <w:rPr>
                <w:rFonts w:cs="Tahoma"/>
                <w:bCs/>
                <w:szCs w:val="20"/>
                <w:lang w:eastAsia="en-US"/>
              </w:rPr>
              <w:t>MR</w:t>
            </w:r>
          </w:p>
        </w:tc>
      </w:tr>
    </w:tbl>
    <w:p w14:paraId="08B16267" w14:textId="77777777" w:rsidR="009A534C" w:rsidRPr="00561548" w:rsidRDefault="009A534C" w:rsidP="00F40D1F">
      <w:pPr>
        <w:rPr>
          <w:rStyle w:val="SubtleReference"/>
          <w:smallCaps w:val="0"/>
          <w:color w:val="auto"/>
        </w:rPr>
      </w:pPr>
    </w:p>
    <w:sectPr w:rsidR="009A534C" w:rsidRPr="00561548" w:rsidSect="005A062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3232" w:bottom="2268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270F" w14:textId="77777777" w:rsidR="00DE3D89" w:rsidRDefault="00DE3D89" w:rsidP="00297315">
      <w:r>
        <w:separator/>
      </w:r>
    </w:p>
  </w:endnote>
  <w:endnote w:type="continuationSeparator" w:id="0">
    <w:p w14:paraId="4AB6D47B" w14:textId="77777777" w:rsidR="00DE3D89" w:rsidRDefault="00DE3D89" w:rsidP="002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35E0" w14:textId="032042B7" w:rsidR="00366250" w:rsidRPr="006A26C3" w:rsidRDefault="00D701A7" w:rsidP="00366250">
    <w:pPr>
      <w:pStyle w:val="Footer"/>
      <w:ind w:right="-2559"/>
      <w:jc w:val="right"/>
      <w:rPr>
        <w:rFonts w:cs="Arial"/>
        <w:sz w:val="16"/>
        <w:szCs w:val="16"/>
      </w:rPr>
    </w:pPr>
    <w:r>
      <w:rPr>
        <w:rFonts w:cs="Arial"/>
        <w:color w:val="00598E" w:themeColor="text2"/>
        <w:sz w:val="16"/>
        <w:szCs w:val="16"/>
      </w:rPr>
      <w:t>Meeting Minutes</w:t>
    </w:r>
    <w:r w:rsidR="00493087" w:rsidRPr="005D5FC0">
      <w:rPr>
        <w:rFonts w:cs="Arial"/>
        <w:color w:val="00598E" w:themeColor="text2"/>
        <w:sz w:val="16"/>
        <w:szCs w:val="16"/>
      </w:rPr>
      <w:t xml:space="preserve"> </w:t>
    </w:r>
    <w:r w:rsidR="00493087" w:rsidRPr="005D5FC0">
      <w:rPr>
        <w:rFonts w:cs="Arial"/>
        <w:color w:val="FF7232" w:themeColor="accent3"/>
        <w:sz w:val="16"/>
        <w:szCs w:val="16"/>
      </w:rPr>
      <w:t>│</w:t>
    </w:r>
    <w:r w:rsidR="00366250" w:rsidRPr="005D5FC0">
      <w:rPr>
        <w:rFonts w:cs="Arial"/>
        <w:color w:val="00598E" w:themeColor="text2"/>
        <w:sz w:val="16"/>
        <w:szCs w:val="16"/>
      </w:rPr>
      <w:t xml:space="preserve"> </w:t>
    </w:r>
    <w:r w:rsidR="00BE465E" w:rsidRPr="00BE465E">
      <w:rPr>
        <w:rFonts w:cs="Arial"/>
        <w:color w:val="00598E" w:themeColor="text2"/>
        <w:sz w:val="16"/>
        <w:szCs w:val="16"/>
      </w:rPr>
      <w:fldChar w:fldCharType="begin"/>
    </w:r>
    <w:r w:rsidR="00BE465E" w:rsidRPr="00BE465E">
      <w:rPr>
        <w:rFonts w:cs="Arial"/>
        <w:color w:val="00598E" w:themeColor="text2"/>
        <w:sz w:val="16"/>
        <w:szCs w:val="16"/>
      </w:rPr>
      <w:instrText xml:space="preserve"> PAGE   \* MERGEFORMAT </w:instrText>
    </w:r>
    <w:r w:rsidR="00BE465E" w:rsidRPr="00BE465E">
      <w:rPr>
        <w:rFonts w:cs="Arial"/>
        <w:color w:val="00598E" w:themeColor="text2"/>
        <w:sz w:val="16"/>
        <w:szCs w:val="16"/>
      </w:rPr>
      <w:fldChar w:fldCharType="separate"/>
    </w:r>
    <w:r w:rsidR="00BE465E" w:rsidRPr="00BE465E">
      <w:rPr>
        <w:rFonts w:cs="Arial"/>
        <w:noProof/>
        <w:color w:val="00598E" w:themeColor="text2"/>
        <w:sz w:val="16"/>
        <w:szCs w:val="16"/>
      </w:rPr>
      <w:t>1</w:t>
    </w:r>
    <w:r w:rsidR="00BE465E" w:rsidRPr="00BE465E">
      <w:rPr>
        <w:rFonts w:cs="Arial"/>
        <w:noProof/>
        <w:color w:val="00598E" w:themeColor="text2"/>
        <w:sz w:val="16"/>
        <w:szCs w:val="16"/>
      </w:rPr>
      <w:fldChar w:fldCharType="end"/>
    </w:r>
    <w:r w:rsidR="00366250" w:rsidRPr="006A26C3">
      <w:rPr>
        <w:rFonts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6620DF63" wp14:editId="1626D3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6040"/>
          <wp:effectExtent l="0" t="0" r="3175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-continuation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322" w14:textId="035EFBE7" w:rsidR="00F47EC4" w:rsidRDefault="00F47EC4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DF271B5" wp14:editId="145E75EB">
          <wp:simplePos x="0" y="0"/>
          <wp:positionH relativeFrom="page">
            <wp:posOffset>-6350</wp:posOffset>
          </wp:positionH>
          <wp:positionV relativeFrom="page">
            <wp:posOffset>9258300</wp:posOffset>
          </wp:positionV>
          <wp:extent cx="7560000" cy="1446040"/>
          <wp:effectExtent l="0" t="0" r="317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A-letterhead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94AC" w14:textId="77777777" w:rsidR="00DE3D89" w:rsidRDefault="00DE3D89" w:rsidP="00297315">
      <w:r>
        <w:separator/>
      </w:r>
    </w:p>
  </w:footnote>
  <w:footnote w:type="continuationSeparator" w:id="0">
    <w:p w14:paraId="73C1A05B" w14:textId="77777777" w:rsidR="00DE3D89" w:rsidRDefault="00DE3D89" w:rsidP="0029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995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66EEB3A9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3E053302" w14:textId="77777777" w:rsidR="00F47EC4" w:rsidRDefault="00F47EC4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5FC7B842" w14:textId="77777777" w:rsidR="003C33AF" w:rsidRDefault="003C33AF" w:rsidP="00F47EC4">
    <w:pPr>
      <w:spacing w:before="0" w:after="0"/>
      <w:ind w:hanging="425"/>
      <w:rPr>
        <w:b/>
        <w:bCs/>
        <w:color w:val="00598E" w:themeColor="text2"/>
        <w:sz w:val="16"/>
        <w:szCs w:val="16"/>
      </w:rPr>
    </w:pPr>
  </w:p>
  <w:p w14:paraId="056B179C" w14:textId="77777777" w:rsidR="00834DE2" w:rsidRPr="005D5FC0" w:rsidRDefault="00D63A7A" w:rsidP="00834DE2">
    <w:pPr>
      <w:pStyle w:val="HeaderText"/>
    </w:pPr>
    <w:r>
      <w:fldChar w:fldCharType="begin"/>
    </w:r>
    <w:r>
      <w:instrText xml:space="preserve"> REF TitleOfCommittee  \* MERGEFORMAT </w:instrText>
    </w:r>
    <w:r>
      <w:fldChar w:fldCharType="separate"/>
    </w:r>
    <w:r w:rsidR="00834DE2">
      <w:t>Entry Customer Forum</w:t>
    </w:r>
  </w:p>
  <w:p w14:paraId="6815C982" w14:textId="5108A266" w:rsidR="00F47EC4" w:rsidRPr="00F47EC4" w:rsidRDefault="00D63A7A" w:rsidP="00D63A7A">
    <w:pPr>
      <w:pStyle w:val="HeaderText"/>
      <w:rPr>
        <w:color w:val="00598E" w:themeColor="text2"/>
      </w:rPr>
    </w:pPr>
    <w:r>
      <w:fldChar w:fldCharType="end"/>
    </w:r>
    <w:r w:rsidR="00F47EC4">
      <w:t>Meeting Minutes</w:t>
    </w:r>
  </w:p>
  <w:p w14:paraId="2CB5D62C" w14:textId="77777777" w:rsidR="00834DE2" w:rsidRDefault="00A47862" w:rsidP="00834DE2">
    <w:pPr>
      <w:pStyle w:val="HeaderText"/>
    </w:pPr>
    <w:r>
      <w:fldChar w:fldCharType="begin"/>
    </w:r>
    <w:r>
      <w:rPr>
        <w:color w:val="00598E" w:themeColor="text2"/>
      </w:rPr>
      <w:instrText xml:space="preserve"> REF DateTime \h </w:instrText>
    </w:r>
    <w:r>
      <w:instrText xml:space="preserve"> \* MERGEFORMAT </w:instrText>
    </w:r>
    <w:r>
      <w:fldChar w:fldCharType="separate"/>
    </w:r>
    <w:r w:rsidR="00834DE2">
      <w:t>Tuesday 27 November 2023</w:t>
    </w:r>
    <w:r w:rsidR="00834DE2" w:rsidRPr="003C060A">
      <w:t xml:space="preserve"> at 1</w:t>
    </w:r>
    <w:r w:rsidR="00834DE2">
      <w:t>2</w:t>
    </w:r>
    <w:r w:rsidR="00834DE2" w:rsidRPr="003C060A">
      <w:t>.</w:t>
    </w:r>
    <w:r w:rsidR="00834DE2">
      <w:t>3</w:t>
    </w:r>
    <w:r w:rsidR="00834DE2" w:rsidRPr="003C060A">
      <w:t>0</w:t>
    </w:r>
    <w:r w:rsidR="00834DE2">
      <w:t>PM</w:t>
    </w:r>
    <w:r w:rsidR="00834DE2" w:rsidRPr="003C060A">
      <w:t xml:space="preserve"> – </w:t>
    </w:r>
    <w:r w:rsidR="00834DE2">
      <w:t>2</w:t>
    </w:r>
    <w:r w:rsidR="00834DE2" w:rsidRPr="003C060A">
      <w:t>.</w:t>
    </w:r>
    <w:r w:rsidR="00834DE2">
      <w:t>0</w:t>
    </w:r>
    <w:r w:rsidR="00834DE2" w:rsidRPr="003C060A">
      <w:t>0</w:t>
    </w:r>
    <w:r w:rsidR="00834DE2">
      <w:t>PM</w:t>
    </w:r>
  </w:p>
  <w:p w14:paraId="109653B7" w14:textId="6EF1070E" w:rsidR="00F47EC4" w:rsidRPr="00F47EC4" w:rsidRDefault="00A47862" w:rsidP="00F47EC4">
    <w:pPr>
      <w:spacing w:before="0" w:after="0"/>
      <w:ind w:hanging="425"/>
      <w:rPr>
        <w:color w:val="00598E" w:themeColor="text2"/>
        <w:sz w:val="16"/>
        <w:szCs w:val="16"/>
      </w:rPr>
    </w:pPr>
    <w:r>
      <w:rPr>
        <w:color w:val="4378A8" w:themeColor="accent2"/>
        <w:sz w:val="16"/>
        <w:szCs w:val="16"/>
      </w:rPr>
      <w:fldChar w:fldCharType="end"/>
    </w:r>
    <w:r w:rsidR="00F47EC4">
      <w:rPr>
        <w:noProof/>
      </w:rPr>
      <w:drawing>
        <wp:anchor distT="0" distB="0" distL="114300" distR="114300" simplePos="0" relativeHeight="251671552" behindDoc="1" locked="0" layoutInCell="1" allowOverlap="1" wp14:anchorId="6722640E" wp14:editId="2BDB4865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60000" cy="1447200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D4DF" w14:textId="779BD8DD" w:rsidR="00F47EC4" w:rsidRDefault="00F47EC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ABB2A1C" wp14:editId="0383F0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447200"/>
          <wp:effectExtent l="0" t="0" r="317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28E"/>
    <w:multiLevelType w:val="hybridMultilevel"/>
    <w:tmpl w:val="73305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1AB2"/>
    <w:multiLevelType w:val="hybridMultilevel"/>
    <w:tmpl w:val="7AD016B6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206"/>
    <w:multiLevelType w:val="hybridMultilevel"/>
    <w:tmpl w:val="151C5216"/>
    <w:lvl w:ilvl="0" w:tplc="58F4EA5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35AF"/>
    <w:multiLevelType w:val="hybridMultilevel"/>
    <w:tmpl w:val="8FA2C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B7E61"/>
    <w:multiLevelType w:val="hybridMultilevel"/>
    <w:tmpl w:val="288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E73"/>
    <w:multiLevelType w:val="hybridMultilevel"/>
    <w:tmpl w:val="F7B2257C"/>
    <w:lvl w:ilvl="0" w:tplc="30FC7D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582"/>
    <w:multiLevelType w:val="hybridMultilevel"/>
    <w:tmpl w:val="F350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33D4"/>
    <w:multiLevelType w:val="hybridMultilevel"/>
    <w:tmpl w:val="25CC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4A73"/>
    <w:multiLevelType w:val="hybridMultilevel"/>
    <w:tmpl w:val="B2807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1530A"/>
    <w:multiLevelType w:val="hybridMultilevel"/>
    <w:tmpl w:val="5B4A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CF1"/>
    <w:multiLevelType w:val="hybridMultilevel"/>
    <w:tmpl w:val="A61C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0E52"/>
    <w:multiLevelType w:val="hybridMultilevel"/>
    <w:tmpl w:val="041E2D32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4962"/>
    <w:multiLevelType w:val="hybridMultilevel"/>
    <w:tmpl w:val="07D6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86645">
    <w:abstractNumId w:val="1"/>
  </w:num>
  <w:num w:numId="2" w16cid:durableId="1532064945">
    <w:abstractNumId w:val="11"/>
  </w:num>
  <w:num w:numId="3" w16cid:durableId="907573219">
    <w:abstractNumId w:val="0"/>
  </w:num>
  <w:num w:numId="4" w16cid:durableId="1862237711">
    <w:abstractNumId w:val="12"/>
  </w:num>
  <w:num w:numId="5" w16cid:durableId="433015849">
    <w:abstractNumId w:val="3"/>
  </w:num>
  <w:num w:numId="6" w16cid:durableId="1658802470">
    <w:abstractNumId w:val="8"/>
  </w:num>
  <w:num w:numId="7" w16cid:durableId="472604258">
    <w:abstractNumId w:val="4"/>
  </w:num>
  <w:num w:numId="8" w16cid:durableId="83235429">
    <w:abstractNumId w:val="6"/>
  </w:num>
  <w:num w:numId="9" w16cid:durableId="1831600868">
    <w:abstractNumId w:val="10"/>
  </w:num>
  <w:num w:numId="10" w16cid:durableId="1066799595">
    <w:abstractNumId w:val="7"/>
  </w:num>
  <w:num w:numId="11" w16cid:durableId="567493777">
    <w:abstractNumId w:val="9"/>
  </w:num>
  <w:num w:numId="12" w16cid:durableId="598295877">
    <w:abstractNumId w:val="2"/>
  </w:num>
  <w:num w:numId="13" w16cid:durableId="1290085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50"/>
    <w:rsid w:val="00024B88"/>
    <w:rsid w:val="00045735"/>
    <w:rsid w:val="0004608F"/>
    <w:rsid w:val="0006081B"/>
    <w:rsid w:val="00062868"/>
    <w:rsid w:val="00077E40"/>
    <w:rsid w:val="000913F2"/>
    <w:rsid w:val="00092C77"/>
    <w:rsid w:val="000B5D1A"/>
    <w:rsid w:val="000C3BB2"/>
    <w:rsid w:val="000C7297"/>
    <w:rsid w:val="000E5865"/>
    <w:rsid w:val="000F0E96"/>
    <w:rsid w:val="000F19A3"/>
    <w:rsid w:val="0010694F"/>
    <w:rsid w:val="0011786B"/>
    <w:rsid w:val="001265BC"/>
    <w:rsid w:val="00132AFE"/>
    <w:rsid w:val="00136B7D"/>
    <w:rsid w:val="001374F4"/>
    <w:rsid w:val="00150980"/>
    <w:rsid w:val="0015526F"/>
    <w:rsid w:val="0016717F"/>
    <w:rsid w:val="001809D3"/>
    <w:rsid w:val="00180D47"/>
    <w:rsid w:val="001B211E"/>
    <w:rsid w:val="001B5933"/>
    <w:rsid w:val="001B5990"/>
    <w:rsid w:val="001C6CB9"/>
    <w:rsid w:val="001D499F"/>
    <w:rsid w:val="001E1D16"/>
    <w:rsid w:val="002034B7"/>
    <w:rsid w:val="00203847"/>
    <w:rsid w:val="0020463B"/>
    <w:rsid w:val="00214E4B"/>
    <w:rsid w:val="00225890"/>
    <w:rsid w:val="00255322"/>
    <w:rsid w:val="002666DA"/>
    <w:rsid w:val="0027615E"/>
    <w:rsid w:val="0027620B"/>
    <w:rsid w:val="00283F84"/>
    <w:rsid w:val="00295AB6"/>
    <w:rsid w:val="00297315"/>
    <w:rsid w:val="002A6340"/>
    <w:rsid w:val="002A72D7"/>
    <w:rsid w:val="002C5119"/>
    <w:rsid w:val="002E2A0A"/>
    <w:rsid w:val="002F3CF0"/>
    <w:rsid w:val="003014BB"/>
    <w:rsid w:val="00302B4C"/>
    <w:rsid w:val="0030769A"/>
    <w:rsid w:val="00325B4F"/>
    <w:rsid w:val="00366250"/>
    <w:rsid w:val="003725C9"/>
    <w:rsid w:val="00384D1E"/>
    <w:rsid w:val="0039665E"/>
    <w:rsid w:val="003A5D0D"/>
    <w:rsid w:val="003B0CD6"/>
    <w:rsid w:val="003B1942"/>
    <w:rsid w:val="003C060A"/>
    <w:rsid w:val="003C33AF"/>
    <w:rsid w:val="003C4DE9"/>
    <w:rsid w:val="003D1243"/>
    <w:rsid w:val="003D171C"/>
    <w:rsid w:val="003D7FF8"/>
    <w:rsid w:val="003F18A0"/>
    <w:rsid w:val="00400C41"/>
    <w:rsid w:val="004074CF"/>
    <w:rsid w:val="004229E7"/>
    <w:rsid w:val="00430F53"/>
    <w:rsid w:val="0043329A"/>
    <w:rsid w:val="00434FC0"/>
    <w:rsid w:val="00437A45"/>
    <w:rsid w:val="00437A9C"/>
    <w:rsid w:val="00443A6D"/>
    <w:rsid w:val="00444F60"/>
    <w:rsid w:val="00484E04"/>
    <w:rsid w:val="00493087"/>
    <w:rsid w:val="004A52F8"/>
    <w:rsid w:val="004B7CFA"/>
    <w:rsid w:val="004C626D"/>
    <w:rsid w:val="004D5C25"/>
    <w:rsid w:val="004D73B8"/>
    <w:rsid w:val="004D7AB4"/>
    <w:rsid w:val="004E2CB9"/>
    <w:rsid w:val="0050338D"/>
    <w:rsid w:val="005034C3"/>
    <w:rsid w:val="00505C5C"/>
    <w:rsid w:val="00517075"/>
    <w:rsid w:val="00530ADE"/>
    <w:rsid w:val="0053321A"/>
    <w:rsid w:val="00536DEC"/>
    <w:rsid w:val="00542214"/>
    <w:rsid w:val="00547294"/>
    <w:rsid w:val="005606F2"/>
    <w:rsid w:val="00561548"/>
    <w:rsid w:val="005A0629"/>
    <w:rsid w:val="005B32B9"/>
    <w:rsid w:val="005B4929"/>
    <w:rsid w:val="005B60F1"/>
    <w:rsid w:val="005D5FC0"/>
    <w:rsid w:val="006156A5"/>
    <w:rsid w:val="00617F0E"/>
    <w:rsid w:val="00632AF2"/>
    <w:rsid w:val="00632BB7"/>
    <w:rsid w:val="00663A32"/>
    <w:rsid w:val="006661D3"/>
    <w:rsid w:val="00674CBC"/>
    <w:rsid w:val="00693DA4"/>
    <w:rsid w:val="006A26C3"/>
    <w:rsid w:val="006A2B60"/>
    <w:rsid w:val="006A37D8"/>
    <w:rsid w:val="006A6AFA"/>
    <w:rsid w:val="006C0908"/>
    <w:rsid w:val="006C5ADA"/>
    <w:rsid w:val="006D03DF"/>
    <w:rsid w:val="006E7936"/>
    <w:rsid w:val="00706389"/>
    <w:rsid w:val="00761CA6"/>
    <w:rsid w:val="00767AC2"/>
    <w:rsid w:val="007733F3"/>
    <w:rsid w:val="00773836"/>
    <w:rsid w:val="00785366"/>
    <w:rsid w:val="00792916"/>
    <w:rsid w:val="007974CE"/>
    <w:rsid w:val="007C615A"/>
    <w:rsid w:val="007C6542"/>
    <w:rsid w:val="007E638E"/>
    <w:rsid w:val="007F031A"/>
    <w:rsid w:val="007F26BB"/>
    <w:rsid w:val="007F379A"/>
    <w:rsid w:val="0080709E"/>
    <w:rsid w:val="00817859"/>
    <w:rsid w:val="00827F5F"/>
    <w:rsid w:val="00834DE2"/>
    <w:rsid w:val="0083582B"/>
    <w:rsid w:val="008378F4"/>
    <w:rsid w:val="008403EF"/>
    <w:rsid w:val="0084044D"/>
    <w:rsid w:val="00856363"/>
    <w:rsid w:val="008762A3"/>
    <w:rsid w:val="00886DCD"/>
    <w:rsid w:val="008A1E12"/>
    <w:rsid w:val="008B13FC"/>
    <w:rsid w:val="008E05A6"/>
    <w:rsid w:val="008F4C4C"/>
    <w:rsid w:val="0090086C"/>
    <w:rsid w:val="009561ED"/>
    <w:rsid w:val="00960211"/>
    <w:rsid w:val="009655E8"/>
    <w:rsid w:val="00965956"/>
    <w:rsid w:val="009771FF"/>
    <w:rsid w:val="0098308E"/>
    <w:rsid w:val="009A534C"/>
    <w:rsid w:val="009B5DAF"/>
    <w:rsid w:val="009C2324"/>
    <w:rsid w:val="009E41EB"/>
    <w:rsid w:val="00A0008B"/>
    <w:rsid w:val="00A1043C"/>
    <w:rsid w:val="00A210C3"/>
    <w:rsid w:val="00A22F55"/>
    <w:rsid w:val="00A2485F"/>
    <w:rsid w:val="00A47862"/>
    <w:rsid w:val="00A63934"/>
    <w:rsid w:val="00A722C9"/>
    <w:rsid w:val="00AC1158"/>
    <w:rsid w:val="00AF0CFE"/>
    <w:rsid w:val="00AF2078"/>
    <w:rsid w:val="00AF28F5"/>
    <w:rsid w:val="00B17446"/>
    <w:rsid w:val="00B403AA"/>
    <w:rsid w:val="00B5347C"/>
    <w:rsid w:val="00B66687"/>
    <w:rsid w:val="00B66C91"/>
    <w:rsid w:val="00B8075F"/>
    <w:rsid w:val="00B84D7E"/>
    <w:rsid w:val="00BE36B8"/>
    <w:rsid w:val="00BE465E"/>
    <w:rsid w:val="00BE4AF3"/>
    <w:rsid w:val="00BF580F"/>
    <w:rsid w:val="00C050A6"/>
    <w:rsid w:val="00C068C9"/>
    <w:rsid w:val="00C21657"/>
    <w:rsid w:val="00C32BA2"/>
    <w:rsid w:val="00C35B18"/>
    <w:rsid w:val="00C4328A"/>
    <w:rsid w:val="00C56B52"/>
    <w:rsid w:val="00C6293D"/>
    <w:rsid w:val="00C73CCE"/>
    <w:rsid w:val="00C76070"/>
    <w:rsid w:val="00C834F1"/>
    <w:rsid w:val="00C86F11"/>
    <w:rsid w:val="00C9613A"/>
    <w:rsid w:val="00C97141"/>
    <w:rsid w:val="00CA0720"/>
    <w:rsid w:val="00CC68C9"/>
    <w:rsid w:val="00CC769A"/>
    <w:rsid w:val="00CD0BE5"/>
    <w:rsid w:val="00D10DFA"/>
    <w:rsid w:val="00D33BB6"/>
    <w:rsid w:val="00D34903"/>
    <w:rsid w:val="00D401F0"/>
    <w:rsid w:val="00D4392C"/>
    <w:rsid w:val="00D44265"/>
    <w:rsid w:val="00D63A7A"/>
    <w:rsid w:val="00D701A7"/>
    <w:rsid w:val="00D73806"/>
    <w:rsid w:val="00D7788A"/>
    <w:rsid w:val="00D877F2"/>
    <w:rsid w:val="00D904AA"/>
    <w:rsid w:val="00DB1E7D"/>
    <w:rsid w:val="00DE3D89"/>
    <w:rsid w:val="00DF366E"/>
    <w:rsid w:val="00E057C7"/>
    <w:rsid w:val="00E1200A"/>
    <w:rsid w:val="00E46030"/>
    <w:rsid w:val="00E70F14"/>
    <w:rsid w:val="00E730E9"/>
    <w:rsid w:val="00E96518"/>
    <w:rsid w:val="00EA43A2"/>
    <w:rsid w:val="00EB0C31"/>
    <w:rsid w:val="00ED5314"/>
    <w:rsid w:val="00EF4EE0"/>
    <w:rsid w:val="00EF7076"/>
    <w:rsid w:val="00F17764"/>
    <w:rsid w:val="00F2581E"/>
    <w:rsid w:val="00F40D1F"/>
    <w:rsid w:val="00F4406B"/>
    <w:rsid w:val="00F47EC4"/>
    <w:rsid w:val="00F60C2F"/>
    <w:rsid w:val="00F93B6F"/>
    <w:rsid w:val="00FA14D2"/>
    <w:rsid w:val="00FA657E"/>
    <w:rsid w:val="00FB7ED3"/>
    <w:rsid w:val="00FC0F14"/>
    <w:rsid w:val="00FC4D03"/>
    <w:rsid w:val="00FD3391"/>
    <w:rsid w:val="00FD351F"/>
    <w:rsid w:val="00FD4D12"/>
    <w:rsid w:val="00FD6F97"/>
    <w:rsid w:val="00FE0A5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F5626"/>
  <w15:chartTrackingRefBased/>
  <w15:docId w15:val="{48DA62AA-8FF7-45D8-8DEB-5FA137E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7"/>
    <w:pPr>
      <w:spacing w:before="120" w:after="120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50A6"/>
    <w:pPr>
      <w:keepNext/>
      <w:keepLines/>
      <w:outlineLvl w:val="0"/>
    </w:pPr>
    <w:rPr>
      <w:rFonts w:asciiTheme="majorHAnsi" w:eastAsiaTheme="majorEastAsia" w:hAnsiTheme="majorHAnsi" w:cstheme="majorBidi"/>
      <w:b/>
      <w:color w:val="484D52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15"/>
  </w:style>
  <w:style w:type="paragraph" w:styleId="Footer">
    <w:name w:val="footer"/>
    <w:basedOn w:val="Normal"/>
    <w:link w:val="Foot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15"/>
  </w:style>
  <w:style w:type="paragraph" w:styleId="BalloonText">
    <w:name w:val="Balloon Text"/>
    <w:basedOn w:val="Normal"/>
    <w:link w:val="BalloonTextChar"/>
    <w:uiPriority w:val="99"/>
    <w:semiHidden/>
    <w:unhideWhenUsed/>
    <w:rsid w:val="002973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0A6"/>
    <w:rPr>
      <w:rFonts w:asciiTheme="majorHAnsi" w:eastAsiaTheme="majorEastAsia" w:hAnsiTheme="majorHAnsi" w:cstheme="majorBidi"/>
      <w:b/>
      <w:color w:val="484D52" w:themeColor="text1"/>
      <w:sz w:val="20"/>
      <w:szCs w:val="32"/>
    </w:rPr>
  </w:style>
  <w:style w:type="paragraph" w:customStyle="1" w:styleId="body">
    <w:name w:val="body"/>
    <w:basedOn w:val="Normal"/>
    <w:autoRedefine/>
    <w:rsid w:val="003662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6250"/>
    <w:pPr>
      <w:ind w:left="720"/>
      <w:contextualSpacing/>
    </w:pPr>
  </w:style>
  <w:style w:type="paragraph" w:customStyle="1" w:styleId="SUBHEADING">
    <w:name w:val="SUBHEADING"/>
    <w:autoRedefine/>
    <w:qFormat/>
    <w:rsid w:val="002034B7"/>
    <w:pPr>
      <w:spacing w:before="240" w:after="120"/>
    </w:pPr>
    <w:rPr>
      <w:rFonts w:ascii="Arial" w:eastAsia="Times New Roman" w:hAnsi="Arial" w:cs="Arial"/>
      <w:b/>
      <w:color w:val="484D52" w:themeColor="text1"/>
      <w:sz w:val="20"/>
      <w:szCs w:val="20"/>
      <w:lang w:eastAsia="en-GB"/>
    </w:rPr>
  </w:style>
  <w:style w:type="paragraph" w:customStyle="1" w:styleId="Header1-underline">
    <w:name w:val="Header 1 - underline"/>
    <w:autoRedefine/>
    <w:qFormat/>
    <w:rsid w:val="00255322"/>
    <w:pPr>
      <w:spacing w:before="100" w:beforeAutospacing="1" w:line="360" w:lineRule="auto"/>
    </w:pPr>
    <w:rPr>
      <w:rFonts w:ascii="Arial" w:eastAsia="Times New Roman" w:hAnsi="Arial" w:cs="Arial"/>
      <w:b/>
      <w:bCs/>
      <w:color w:val="00598E" w:themeColor="text2"/>
      <w:sz w:val="28"/>
      <w:szCs w:val="28"/>
      <w:u w:val="single" w:color="FF7232" w:themeColor="accent3"/>
      <w:lang w:eastAsia="en-GB"/>
    </w:rPr>
  </w:style>
  <w:style w:type="character" w:styleId="SubtleReference">
    <w:name w:val="Subtle Reference"/>
    <w:basedOn w:val="DefaultParagraphFont"/>
    <w:uiPriority w:val="31"/>
    <w:rsid w:val="00561548"/>
    <w:rPr>
      <w:smallCaps/>
      <w:color w:val="848B93" w:themeColor="text1" w:themeTint="A5"/>
    </w:rPr>
  </w:style>
  <w:style w:type="paragraph" w:customStyle="1" w:styleId="Subheader2">
    <w:name w:val="Subheader 2"/>
    <w:basedOn w:val="Normal"/>
    <w:next w:val="Normal"/>
    <w:qFormat/>
    <w:rsid w:val="003D171C"/>
    <w:rPr>
      <w:b/>
      <w:bCs/>
      <w:color w:val="00598E" w:themeColor="text2"/>
      <w:szCs w:val="20"/>
    </w:rPr>
  </w:style>
  <w:style w:type="paragraph" w:customStyle="1" w:styleId="HeaderText">
    <w:name w:val="HeaderText"/>
    <w:basedOn w:val="Normal"/>
    <w:link w:val="HeaderTextChar"/>
    <w:qFormat/>
    <w:rsid w:val="00D63A7A"/>
    <w:pPr>
      <w:spacing w:before="0" w:after="0"/>
      <w:ind w:hanging="425"/>
    </w:pPr>
    <w:rPr>
      <w:color w:val="4378A8" w:themeColor="accent2"/>
      <w:sz w:val="16"/>
      <w:szCs w:val="16"/>
    </w:rPr>
  </w:style>
  <w:style w:type="character" w:customStyle="1" w:styleId="HeaderTextChar">
    <w:name w:val="HeaderText Char"/>
    <w:basedOn w:val="DefaultParagraphFont"/>
    <w:link w:val="HeaderText"/>
    <w:rsid w:val="00D63A7A"/>
    <w:rPr>
      <w:rFonts w:ascii="Arial" w:eastAsia="Times New Roman" w:hAnsi="Arial" w:cs="Times New Roman"/>
      <w:color w:val="4378A8" w:themeColor="accent2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NA">
      <a:dk1>
        <a:srgbClr val="484D52"/>
      </a:dk1>
      <a:lt1>
        <a:sysClr val="window" lastClr="FFFFFF"/>
      </a:lt1>
      <a:dk2>
        <a:srgbClr val="00598E"/>
      </a:dk2>
      <a:lt2>
        <a:srgbClr val="A6ACA9"/>
      </a:lt2>
      <a:accent1>
        <a:srgbClr val="00598E"/>
      </a:accent1>
      <a:accent2>
        <a:srgbClr val="4378A8"/>
      </a:accent2>
      <a:accent3>
        <a:srgbClr val="FF7232"/>
      </a:accent3>
      <a:accent4>
        <a:srgbClr val="009FE3"/>
      </a:accent4>
      <a:accent5>
        <a:srgbClr val="FFE600"/>
      </a:accent5>
      <a:accent6>
        <a:srgbClr val="BECC00"/>
      </a:accent6>
      <a:hlink>
        <a:srgbClr val="4378A8"/>
      </a:hlink>
      <a:folHlink>
        <a:srgbClr val="437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2" ma:contentTypeDescription="Create a new document." ma:contentTypeScope="" ma:versionID="90e6ec2cff0b497f79987f237fad2873">
  <xsd:schema xmlns:xsd="http://www.w3.org/2001/XMLSchema" xmlns:xs="http://www.w3.org/2001/XMLSchema" xmlns:p="http://schemas.microsoft.com/office/2006/metadata/properties" xmlns:ns2="102eda4e-14e3-4302-a901-9cd880e34d68" targetNamespace="http://schemas.microsoft.com/office/2006/metadata/properties" ma:root="true" ma:fieldsID="d4a9b7dad84b1121b2b933e80eef4e66" ns2:_="">
    <xsd:import namespace="102eda4e-14e3-4302-a901-9cd880e34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DE08-82CE-427F-855F-C72C2292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da4e-14e3-4302-a901-9cd880e3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8E2EC-CF12-47AA-BFE8-53DA19964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BAF70-47A2-4B26-8F8A-F74C692F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C5D04-1A07-4347-8B6B-35DD604D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Rosenfeld</dc:creator>
  <cp:keywords/>
  <dc:description/>
  <cp:lastModifiedBy>Matt Rosenfeld</cp:lastModifiedBy>
  <cp:revision>189</cp:revision>
  <cp:lastPrinted>2020-10-16T10:33:00Z</cp:lastPrinted>
  <dcterms:created xsi:type="dcterms:W3CDTF">2022-11-16T17:12:00Z</dcterms:created>
  <dcterms:modified xsi:type="dcterms:W3CDTF">2023-11-29T12:43:00Z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